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4E7B63" w14:textId="1C311B89" w:rsidR="000D02A4" w:rsidRDefault="00173C80">
      <w:pPr>
        <w:keepLines/>
        <w:widowControl/>
        <w:tabs>
          <w:tab w:val="left" w:pos="567"/>
        </w:tabs>
        <w:adjustRightInd w:val="0"/>
        <w:snapToGrid w:val="0"/>
        <w:spacing w:line="276" w:lineRule="auto"/>
        <w:jc w:val="left"/>
        <w:rPr>
          <w:rFonts w:eastAsia="SimSun" w:cs="Arial"/>
          <w:b/>
          <w:kern w:val="0"/>
          <w:sz w:val="24"/>
          <w:szCs w:val="24"/>
          <w:lang w:val="en-US" w:eastAsia="en-US"/>
        </w:rPr>
      </w:pPr>
      <w:r>
        <w:rPr>
          <w:rFonts w:eastAsia="SimSun" w:cs="Arial"/>
          <w:b/>
          <w:kern w:val="0"/>
          <w:sz w:val="24"/>
          <w:szCs w:val="24"/>
          <w:lang w:val="en-US" w:eastAsia="en-US"/>
        </w:rPr>
        <w:t xml:space="preserve">3GPP TSG-RAN2 Meeting </w:t>
      </w:r>
      <w:r>
        <w:rPr>
          <w:rFonts w:eastAsia="SimSun" w:cs="Arial" w:hint="eastAsia"/>
          <w:b/>
          <w:kern w:val="0"/>
          <w:sz w:val="24"/>
          <w:szCs w:val="24"/>
          <w:lang w:val="en-US" w:eastAsia="zh-CN"/>
        </w:rPr>
        <w:t>110</w:t>
      </w:r>
      <w:r w:rsidR="00E362F5">
        <w:rPr>
          <w:rFonts w:eastAsia="SimSun" w:cs="Arial"/>
          <w:b/>
          <w:kern w:val="0"/>
          <w:sz w:val="24"/>
          <w:szCs w:val="24"/>
          <w:lang w:val="en-US" w:eastAsia="zh-CN"/>
        </w:rPr>
        <w:t>-</w:t>
      </w:r>
      <w:r>
        <w:rPr>
          <w:rFonts w:cs="Arial"/>
          <w:b/>
          <w:bCs/>
          <w:sz w:val="24"/>
          <w:szCs w:val="22"/>
        </w:rPr>
        <w:t>e</w:t>
      </w:r>
      <w:r w:rsidR="00E362F5">
        <w:rPr>
          <w:rFonts w:cs="Arial"/>
          <w:b/>
          <w:bCs/>
          <w:sz w:val="24"/>
          <w:szCs w:val="22"/>
        </w:rPr>
        <w:tab/>
      </w:r>
      <w:r w:rsidR="00E362F5">
        <w:rPr>
          <w:rFonts w:cs="Arial"/>
          <w:b/>
          <w:bCs/>
          <w:sz w:val="24"/>
          <w:szCs w:val="22"/>
        </w:rPr>
        <w:tab/>
      </w:r>
      <w:r w:rsidR="00E362F5">
        <w:rPr>
          <w:rFonts w:cs="Arial"/>
          <w:b/>
          <w:bCs/>
          <w:sz w:val="24"/>
          <w:szCs w:val="22"/>
        </w:rPr>
        <w:tab/>
      </w:r>
      <w:r>
        <w:rPr>
          <w:rFonts w:cs="Arial" w:hint="eastAsia"/>
          <w:b/>
          <w:bCs/>
          <w:sz w:val="24"/>
          <w:szCs w:val="22"/>
          <w:lang w:val="en-US" w:eastAsia="zh-CN"/>
        </w:rPr>
        <w:t xml:space="preserve">  </w:t>
      </w:r>
      <w:r>
        <w:rPr>
          <w:rFonts w:eastAsia="SimSun" w:cs="Arial"/>
          <w:b/>
          <w:kern w:val="0"/>
          <w:sz w:val="24"/>
          <w:szCs w:val="24"/>
          <w:lang w:val="en-US" w:eastAsia="en-US"/>
        </w:rPr>
        <w:tab/>
      </w:r>
      <w:r>
        <w:rPr>
          <w:rFonts w:eastAsia="SimSun" w:cs="Arial"/>
          <w:b/>
          <w:kern w:val="0"/>
          <w:sz w:val="24"/>
          <w:szCs w:val="24"/>
          <w:lang w:val="en-US" w:eastAsia="en-US"/>
        </w:rPr>
        <w:tab/>
        <w:t xml:space="preserve">   </w:t>
      </w:r>
      <w:r>
        <w:rPr>
          <w:rFonts w:eastAsia="SimSun" w:cs="Arial"/>
          <w:b/>
          <w:kern w:val="0"/>
          <w:sz w:val="24"/>
          <w:szCs w:val="24"/>
          <w:lang w:val="en-US" w:eastAsia="en-US"/>
        </w:rPr>
        <w:tab/>
        <w:t xml:space="preserve"> </w:t>
      </w:r>
      <w:r>
        <w:rPr>
          <w:rFonts w:eastAsia="SimSun" w:cs="Arial"/>
          <w:b/>
          <w:kern w:val="0"/>
          <w:sz w:val="24"/>
          <w:szCs w:val="24"/>
          <w:lang w:val="en-US" w:eastAsia="en-US"/>
        </w:rPr>
        <w:tab/>
      </w:r>
      <w:r>
        <w:rPr>
          <w:rFonts w:eastAsia="SimSun" w:cs="Arial"/>
          <w:b/>
          <w:kern w:val="0"/>
          <w:sz w:val="24"/>
          <w:szCs w:val="24"/>
          <w:lang w:val="en-US" w:eastAsia="en-US"/>
        </w:rPr>
        <w:tab/>
      </w:r>
      <w:r>
        <w:rPr>
          <w:rFonts w:eastAsia="SimSun" w:cs="Arial"/>
          <w:b/>
          <w:kern w:val="0"/>
          <w:sz w:val="24"/>
          <w:szCs w:val="24"/>
          <w:lang w:val="en-US" w:eastAsia="en-US"/>
        </w:rPr>
        <w:tab/>
      </w:r>
      <w:r>
        <w:rPr>
          <w:rFonts w:eastAsia="SimSun" w:cs="Arial"/>
          <w:b/>
          <w:kern w:val="0"/>
          <w:sz w:val="24"/>
          <w:szCs w:val="24"/>
          <w:lang w:val="en-US" w:eastAsia="en-US"/>
        </w:rPr>
        <w:tab/>
      </w:r>
      <w:r>
        <w:rPr>
          <w:rFonts w:eastAsia="SimSun" w:cs="Arial"/>
          <w:b/>
          <w:kern w:val="0"/>
          <w:sz w:val="24"/>
          <w:szCs w:val="24"/>
          <w:lang w:val="en-US" w:eastAsia="en-US"/>
        </w:rPr>
        <w:tab/>
      </w:r>
      <w:r w:rsidR="002D0B95" w:rsidRPr="002D0B95">
        <w:rPr>
          <w:rFonts w:eastAsia="SimSun" w:cs="Arial"/>
          <w:b/>
          <w:kern w:val="0"/>
          <w:sz w:val="24"/>
          <w:szCs w:val="24"/>
          <w:lang w:val="en-US" w:eastAsia="en-US"/>
        </w:rPr>
        <w:t>R2-2004616</w:t>
      </w:r>
    </w:p>
    <w:p w14:paraId="75E06D69" w14:textId="77777777" w:rsidR="000D02A4" w:rsidRDefault="00173C80">
      <w:pPr>
        <w:keepLines/>
        <w:widowControl/>
        <w:tabs>
          <w:tab w:val="left" w:pos="567"/>
        </w:tabs>
        <w:adjustRightInd w:val="0"/>
        <w:snapToGrid w:val="0"/>
        <w:spacing w:after="0" w:line="276" w:lineRule="auto"/>
        <w:jc w:val="left"/>
        <w:rPr>
          <w:rFonts w:cs="Arial"/>
          <w:b/>
          <w:bCs/>
          <w:kern w:val="0"/>
          <w:sz w:val="24"/>
          <w:szCs w:val="24"/>
        </w:rPr>
      </w:pPr>
      <w:r>
        <w:rPr>
          <w:rFonts w:cs="Arial" w:hint="eastAsia"/>
          <w:b/>
          <w:sz w:val="24"/>
          <w:szCs w:val="24"/>
          <w:lang w:val="en-US" w:eastAsia="zh-CN"/>
        </w:rPr>
        <w:t>Online</w:t>
      </w:r>
      <w:r>
        <w:rPr>
          <w:rFonts w:cs="Arial"/>
          <w:b/>
          <w:sz w:val="24"/>
          <w:szCs w:val="24"/>
          <w:lang w:val="de-DE" w:eastAsia="zh-CN"/>
        </w:rPr>
        <w:t xml:space="preserve">, </w:t>
      </w:r>
      <w:r>
        <w:rPr>
          <w:rFonts w:cs="Arial" w:hint="eastAsia"/>
          <w:b/>
          <w:sz w:val="24"/>
          <w:szCs w:val="24"/>
          <w:lang w:val="en-US" w:eastAsia="zh-CN"/>
        </w:rPr>
        <w:t>1</w:t>
      </w:r>
      <w:r>
        <w:rPr>
          <w:rFonts w:cs="Arial"/>
          <w:b/>
          <w:sz w:val="24"/>
          <w:szCs w:val="24"/>
          <w:lang w:val="de-DE" w:eastAsia="zh-CN"/>
        </w:rPr>
        <w:t xml:space="preserve"> April – </w:t>
      </w:r>
      <w:r>
        <w:rPr>
          <w:rFonts w:cs="Arial" w:hint="eastAsia"/>
          <w:b/>
          <w:sz w:val="24"/>
          <w:szCs w:val="24"/>
          <w:lang w:val="en-US" w:eastAsia="zh-CN"/>
        </w:rPr>
        <w:t>12</w:t>
      </w:r>
      <w:r>
        <w:rPr>
          <w:rFonts w:cs="Arial"/>
          <w:b/>
          <w:sz w:val="24"/>
          <w:szCs w:val="24"/>
          <w:lang w:val="de-DE" w:eastAsia="zh-CN"/>
        </w:rPr>
        <w:t xml:space="preserve"> </w:t>
      </w:r>
      <w:r>
        <w:rPr>
          <w:rFonts w:cs="Arial" w:hint="eastAsia"/>
          <w:b/>
          <w:sz w:val="24"/>
          <w:szCs w:val="24"/>
          <w:lang w:val="en-US" w:eastAsia="zh-CN"/>
        </w:rPr>
        <w:t>June</w:t>
      </w:r>
      <w:r>
        <w:rPr>
          <w:rFonts w:cs="Arial"/>
          <w:b/>
          <w:sz w:val="24"/>
          <w:szCs w:val="24"/>
          <w:lang w:val="de-DE" w:eastAsia="zh-CN"/>
        </w:rPr>
        <w:t xml:space="preserve"> 2020</w:t>
      </w:r>
      <w:r>
        <w:rPr>
          <w:rFonts w:eastAsia="SimSun" w:cs="Arial"/>
          <w:b/>
          <w:kern w:val="0"/>
          <w:sz w:val="24"/>
          <w:szCs w:val="24"/>
          <w:lang w:val="en-US" w:eastAsia="en-US"/>
        </w:rPr>
        <w:tab/>
      </w:r>
      <w:r>
        <w:rPr>
          <w:rFonts w:cs="Arial"/>
          <w:b/>
          <w:bCs/>
          <w:kern w:val="0"/>
          <w:sz w:val="24"/>
          <w:szCs w:val="24"/>
        </w:rPr>
        <w:tab/>
        <w:t xml:space="preserve">      </w:t>
      </w:r>
      <w:r>
        <w:rPr>
          <w:rFonts w:cs="Arial"/>
          <w:b/>
          <w:bCs/>
          <w:color w:val="D9D9D9" w:themeColor="background1" w:themeShade="D9"/>
          <w:kern w:val="0"/>
          <w:sz w:val="24"/>
          <w:szCs w:val="24"/>
        </w:rPr>
        <w:t xml:space="preserve">   </w:t>
      </w:r>
    </w:p>
    <w:p w14:paraId="3DD25D71" w14:textId="77777777" w:rsidR="000D02A4" w:rsidRDefault="00173C80">
      <w:pPr>
        <w:overflowPunct w:val="0"/>
        <w:autoSpaceDE w:val="0"/>
        <w:autoSpaceDN w:val="0"/>
        <w:adjustRightInd w:val="0"/>
        <w:snapToGrid w:val="0"/>
        <w:spacing w:before="240"/>
        <w:jc w:val="left"/>
        <w:textAlignment w:val="baseline"/>
        <w:rPr>
          <w:rFonts w:cs="Arial"/>
          <w:b/>
          <w:bCs/>
          <w:snapToGrid w:val="0"/>
          <w:kern w:val="0"/>
          <w:sz w:val="24"/>
          <w:szCs w:val="24"/>
        </w:rPr>
      </w:pPr>
      <w:r>
        <w:rPr>
          <w:rFonts w:cs="Arial"/>
          <w:b/>
          <w:bCs/>
          <w:snapToGrid w:val="0"/>
          <w:kern w:val="0"/>
          <w:sz w:val="24"/>
          <w:szCs w:val="24"/>
        </w:rPr>
        <w:t xml:space="preserve">Source: </w:t>
      </w:r>
      <w:r>
        <w:rPr>
          <w:rFonts w:cs="Arial"/>
          <w:b/>
          <w:bCs/>
          <w:snapToGrid w:val="0"/>
          <w:kern w:val="0"/>
          <w:sz w:val="24"/>
          <w:szCs w:val="24"/>
        </w:rPr>
        <w:tab/>
      </w:r>
      <w:r>
        <w:rPr>
          <w:rFonts w:cs="Arial"/>
          <w:b/>
          <w:bCs/>
          <w:snapToGrid w:val="0"/>
          <w:kern w:val="0"/>
          <w:sz w:val="24"/>
          <w:szCs w:val="24"/>
        </w:rPr>
        <w:tab/>
      </w:r>
      <w:r>
        <w:rPr>
          <w:rFonts w:cs="Arial"/>
          <w:b/>
          <w:bCs/>
          <w:snapToGrid w:val="0"/>
          <w:kern w:val="0"/>
          <w:sz w:val="24"/>
          <w:szCs w:val="24"/>
        </w:rPr>
        <w:tab/>
        <w:t xml:space="preserve">ZTE Corporation, </w:t>
      </w:r>
      <w:proofErr w:type="spellStart"/>
      <w:r>
        <w:rPr>
          <w:rFonts w:cs="Arial"/>
          <w:b/>
          <w:bCs/>
          <w:snapToGrid w:val="0"/>
          <w:kern w:val="0"/>
          <w:sz w:val="24"/>
          <w:szCs w:val="24"/>
        </w:rPr>
        <w:t>Sanechips</w:t>
      </w:r>
      <w:proofErr w:type="spellEnd"/>
    </w:p>
    <w:p w14:paraId="4A577B1C" w14:textId="77777777" w:rsidR="000D02A4" w:rsidRDefault="00173C80">
      <w:pPr>
        <w:overflowPunct w:val="0"/>
        <w:autoSpaceDE w:val="0"/>
        <w:autoSpaceDN w:val="0"/>
        <w:adjustRightInd w:val="0"/>
        <w:snapToGrid w:val="0"/>
        <w:ind w:left="2100" w:hanging="2100"/>
        <w:jc w:val="left"/>
        <w:textAlignment w:val="baseline"/>
        <w:rPr>
          <w:rFonts w:cs="Arial"/>
          <w:b/>
          <w:bCs/>
          <w:snapToGrid w:val="0"/>
          <w:kern w:val="0"/>
          <w:sz w:val="24"/>
          <w:szCs w:val="24"/>
        </w:rPr>
      </w:pPr>
      <w:r>
        <w:rPr>
          <w:rFonts w:cs="Arial"/>
          <w:b/>
          <w:bCs/>
          <w:snapToGrid w:val="0"/>
          <w:kern w:val="0"/>
          <w:sz w:val="24"/>
          <w:szCs w:val="24"/>
        </w:rPr>
        <w:t xml:space="preserve">Title: </w:t>
      </w:r>
      <w:r>
        <w:rPr>
          <w:rFonts w:cs="Arial"/>
          <w:b/>
          <w:bCs/>
          <w:snapToGrid w:val="0"/>
          <w:kern w:val="0"/>
          <w:sz w:val="24"/>
          <w:szCs w:val="24"/>
        </w:rPr>
        <w:tab/>
        <w:t xml:space="preserve">UE declaring beam failure due to LBT failures during active TCI switching  </w:t>
      </w:r>
    </w:p>
    <w:p w14:paraId="191AD0D1" w14:textId="77777777" w:rsidR="000D02A4" w:rsidRDefault="00173C80">
      <w:pPr>
        <w:overflowPunct w:val="0"/>
        <w:autoSpaceDE w:val="0"/>
        <w:autoSpaceDN w:val="0"/>
        <w:adjustRightInd w:val="0"/>
        <w:snapToGrid w:val="0"/>
        <w:jc w:val="left"/>
        <w:textAlignment w:val="baseline"/>
        <w:rPr>
          <w:rFonts w:cs="Arial"/>
          <w:b/>
          <w:bCs/>
          <w:snapToGrid w:val="0"/>
          <w:kern w:val="0"/>
          <w:sz w:val="24"/>
          <w:szCs w:val="24"/>
        </w:rPr>
      </w:pPr>
      <w:r>
        <w:rPr>
          <w:rFonts w:cs="Arial"/>
          <w:b/>
          <w:bCs/>
          <w:snapToGrid w:val="0"/>
          <w:kern w:val="0"/>
          <w:sz w:val="24"/>
          <w:szCs w:val="24"/>
        </w:rPr>
        <w:t>Agenda item:</w:t>
      </w:r>
      <w:r>
        <w:rPr>
          <w:rFonts w:cs="Arial"/>
          <w:b/>
          <w:bCs/>
          <w:snapToGrid w:val="0"/>
          <w:kern w:val="0"/>
          <w:sz w:val="24"/>
          <w:szCs w:val="24"/>
        </w:rPr>
        <w:tab/>
      </w:r>
      <w:bookmarkStart w:id="0" w:name="Source"/>
      <w:bookmarkEnd w:id="0"/>
      <w:r>
        <w:rPr>
          <w:rFonts w:cs="Arial"/>
          <w:b/>
          <w:bCs/>
          <w:snapToGrid w:val="0"/>
          <w:kern w:val="0"/>
          <w:sz w:val="24"/>
          <w:szCs w:val="24"/>
        </w:rPr>
        <w:tab/>
        <w:t>6.2.</w:t>
      </w:r>
      <w:r>
        <w:rPr>
          <w:rFonts w:cs="Arial" w:hint="eastAsia"/>
          <w:b/>
          <w:bCs/>
          <w:snapToGrid w:val="0"/>
          <w:kern w:val="0"/>
          <w:sz w:val="24"/>
          <w:szCs w:val="24"/>
          <w:lang w:val="en-US" w:eastAsia="zh-CN"/>
        </w:rPr>
        <w:t>2</w:t>
      </w:r>
    </w:p>
    <w:p w14:paraId="34C9AE21" w14:textId="77777777" w:rsidR="000D02A4" w:rsidRDefault="00173C80">
      <w:pPr>
        <w:overflowPunct w:val="0"/>
        <w:autoSpaceDE w:val="0"/>
        <w:autoSpaceDN w:val="0"/>
        <w:adjustRightInd w:val="0"/>
        <w:snapToGrid w:val="0"/>
        <w:jc w:val="left"/>
        <w:textAlignment w:val="baseline"/>
        <w:rPr>
          <w:rFonts w:cs="Arial"/>
          <w:b/>
          <w:bCs/>
          <w:snapToGrid w:val="0"/>
          <w:kern w:val="0"/>
          <w:sz w:val="24"/>
          <w:szCs w:val="24"/>
        </w:rPr>
      </w:pPr>
      <w:r>
        <w:rPr>
          <w:rFonts w:cs="Arial"/>
          <w:b/>
          <w:bCs/>
          <w:snapToGrid w:val="0"/>
          <w:kern w:val="0"/>
          <w:sz w:val="24"/>
          <w:szCs w:val="24"/>
        </w:rPr>
        <w:t>Document for:</w:t>
      </w:r>
      <w:bookmarkStart w:id="1" w:name="DocumentFor"/>
      <w:bookmarkEnd w:id="1"/>
      <w:r>
        <w:rPr>
          <w:rFonts w:cs="Arial" w:hint="eastAsia"/>
          <w:b/>
          <w:bCs/>
          <w:snapToGrid w:val="0"/>
          <w:kern w:val="0"/>
          <w:sz w:val="24"/>
          <w:szCs w:val="24"/>
        </w:rPr>
        <w:t xml:space="preserve"> </w:t>
      </w:r>
      <w:r>
        <w:rPr>
          <w:rFonts w:cs="Arial"/>
          <w:b/>
          <w:bCs/>
          <w:snapToGrid w:val="0"/>
          <w:kern w:val="0"/>
          <w:sz w:val="24"/>
          <w:szCs w:val="24"/>
        </w:rPr>
        <w:tab/>
        <w:t>Discussion</w:t>
      </w:r>
      <w:r>
        <w:rPr>
          <w:rFonts w:cs="Arial" w:hint="eastAsia"/>
          <w:b/>
          <w:bCs/>
          <w:snapToGrid w:val="0"/>
          <w:kern w:val="0"/>
          <w:sz w:val="24"/>
          <w:szCs w:val="24"/>
        </w:rPr>
        <w:t xml:space="preserve"> and Decision</w:t>
      </w:r>
    </w:p>
    <w:p w14:paraId="3829F76A" w14:textId="77777777" w:rsidR="000D02A4" w:rsidRDefault="00173C8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2" w:name="_Toc18413600"/>
      <w:bookmarkStart w:id="3" w:name="_Toc18404533"/>
      <w:bookmarkStart w:id="4" w:name="_Toc18403966"/>
      <w:r>
        <w:rPr>
          <w:rFonts w:cs="Arial"/>
          <w:b w:val="0"/>
          <w:bCs w:val="0"/>
          <w:kern w:val="0"/>
          <w:sz w:val="32"/>
          <w:szCs w:val="36"/>
        </w:rPr>
        <w:t>Introduction</w:t>
      </w:r>
      <w:bookmarkEnd w:id="2"/>
      <w:bookmarkEnd w:id="3"/>
      <w:bookmarkEnd w:id="4"/>
    </w:p>
    <w:p w14:paraId="3D0565AA" w14:textId="0DE20663" w:rsidR="000D02A4" w:rsidRDefault="00173C80">
      <w:pPr>
        <w:spacing w:after="60"/>
        <w:rPr>
          <w:rFonts w:cs="Arial"/>
          <w:color w:val="000000"/>
          <w:sz w:val="20"/>
          <w:szCs w:val="20"/>
        </w:rPr>
      </w:pPr>
      <w:r>
        <w:rPr>
          <w:rFonts w:cs="Arial" w:hint="eastAsia"/>
          <w:color w:val="000000"/>
          <w:sz w:val="20"/>
          <w:szCs w:val="20"/>
          <w:lang w:val="en-US" w:eastAsia="zh-CN"/>
        </w:rPr>
        <w:t xml:space="preserve">Regarding </w:t>
      </w:r>
      <w:r>
        <w:rPr>
          <w:rFonts w:cs="Arial"/>
          <w:color w:val="000000"/>
          <w:sz w:val="20"/>
          <w:szCs w:val="20"/>
        </w:rPr>
        <w:t>UE requirements for active TCI state switching in NR-U, RAN4 has made the following agreements:</w:t>
      </w:r>
    </w:p>
    <w:p w14:paraId="131A0187" w14:textId="77777777" w:rsidR="000D02A4" w:rsidRDefault="00173C80">
      <w:pPr>
        <w:spacing w:after="60"/>
        <w:rPr>
          <w:rFonts w:cs="Arial"/>
          <w:b/>
          <w:bCs/>
          <w:color w:val="000000"/>
          <w:sz w:val="20"/>
          <w:szCs w:val="20"/>
        </w:rPr>
      </w:pPr>
      <w:r>
        <w:rPr>
          <w:rFonts w:cs="Arial"/>
          <w:b/>
          <w:bCs/>
          <w:color w:val="000000"/>
          <w:sz w:val="20"/>
          <w:szCs w:val="20"/>
        </w:rPr>
        <w:t>RAN4#94-e:</w:t>
      </w:r>
    </w:p>
    <w:p w14:paraId="67B9588E" w14:textId="77777777" w:rsidR="000D02A4" w:rsidRDefault="00173C80">
      <w:pPr>
        <w:numPr>
          <w:ilvl w:val="0"/>
          <w:numId w:val="6"/>
        </w:numPr>
        <w:spacing w:after="180"/>
        <w:rPr>
          <w:i/>
          <w:iCs/>
          <w:sz w:val="20"/>
          <w:szCs w:val="20"/>
        </w:rPr>
      </w:pPr>
      <w:r>
        <w:rPr>
          <w:i/>
          <w:iCs/>
          <w:sz w:val="20"/>
          <w:szCs w:val="20"/>
        </w:rPr>
        <w:t>RRC-based: FFS: need for RAN2 LS if the UE declares beam failure upon exceeding L1</w:t>
      </w:r>
      <w:proofErr w:type="gramStart"/>
      <w:r>
        <w:rPr>
          <w:i/>
          <w:iCs/>
          <w:sz w:val="20"/>
          <w:szCs w:val="20"/>
          <w:vertAlign w:val="subscript"/>
        </w:rPr>
        <w:t>RRC,unknown</w:t>
      </w:r>
      <w:proofErr w:type="gramEnd"/>
      <w:r>
        <w:rPr>
          <w:i/>
          <w:iCs/>
          <w:sz w:val="20"/>
          <w:szCs w:val="20"/>
          <w:vertAlign w:val="subscript"/>
        </w:rPr>
        <w:t>,max</w:t>
      </w:r>
      <w:r>
        <w:rPr>
          <w:i/>
          <w:iCs/>
          <w:sz w:val="20"/>
          <w:szCs w:val="20"/>
        </w:rPr>
        <w:t xml:space="preserve"> or L2</w:t>
      </w:r>
      <w:r>
        <w:rPr>
          <w:i/>
          <w:iCs/>
          <w:sz w:val="20"/>
          <w:szCs w:val="20"/>
          <w:vertAlign w:val="subscript"/>
        </w:rPr>
        <w:t>RRC,unknown,max</w:t>
      </w:r>
    </w:p>
    <w:p w14:paraId="4C87287C" w14:textId="77777777" w:rsidR="000D02A4" w:rsidRDefault="00173C80">
      <w:pPr>
        <w:spacing w:after="60"/>
        <w:rPr>
          <w:rFonts w:cs="Arial"/>
          <w:color w:val="000000"/>
          <w:sz w:val="20"/>
          <w:szCs w:val="20"/>
        </w:rPr>
      </w:pPr>
      <w:r>
        <w:rPr>
          <w:rFonts w:cs="Arial"/>
          <w:b/>
          <w:bCs/>
          <w:color w:val="000000"/>
          <w:sz w:val="20"/>
          <w:szCs w:val="20"/>
        </w:rPr>
        <w:t>RAN4#94:</w:t>
      </w:r>
    </w:p>
    <w:p w14:paraId="78290246" w14:textId="77777777" w:rsidR="000D02A4" w:rsidRDefault="00173C80">
      <w:pPr>
        <w:spacing w:after="60"/>
        <w:rPr>
          <w:i/>
          <w:iCs/>
          <w:sz w:val="20"/>
          <w:szCs w:val="20"/>
        </w:rPr>
      </w:pPr>
      <w:r>
        <w:rPr>
          <w:i/>
          <w:iCs/>
          <w:sz w:val="20"/>
          <w:szCs w:val="20"/>
          <w:u w:val="single"/>
        </w:rPr>
        <w:t>Known state</w:t>
      </w:r>
      <w:r>
        <w:rPr>
          <w:i/>
          <w:iCs/>
          <w:sz w:val="20"/>
          <w:szCs w:val="20"/>
        </w:rPr>
        <w:t>:</w:t>
      </w:r>
    </w:p>
    <w:p w14:paraId="5849207A" w14:textId="77777777" w:rsidR="000D02A4" w:rsidRDefault="00173C80">
      <w:pPr>
        <w:numPr>
          <w:ilvl w:val="0"/>
          <w:numId w:val="7"/>
        </w:numPr>
        <w:spacing w:after="20"/>
        <w:ind w:hanging="357"/>
        <w:rPr>
          <w:i/>
          <w:iCs/>
          <w:sz w:val="20"/>
          <w:szCs w:val="20"/>
          <w:lang w:val="sv-SE"/>
        </w:rPr>
      </w:pPr>
      <w:r>
        <w:rPr>
          <w:i/>
          <w:iCs/>
          <w:sz w:val="20"/>
          <w:szCs w:val="20"/>
        </w:rPr>
        <w:t>RRC-based:</w:t>
      </w:r>
    </w:p>
    <w:p w14:paraId="086FDBA3" w14:textId="77777777" w:rsidR="000D02A4" w:rsidRDefault="00173C80">
      <w:pPr>
        <w:numPr>
          <w:ilvl w:val="1"/>
          <w:numId w:val="7"/>
        </w:numPr>
        <w:spacing w:after="20"/>
        <w:ind w:hanging="357"/>
        <w:rPr>
          <w:i/>
          <w:iCs/>
          <w:sz w:val="20"/>
          <w:szCs w:val="20"/>
        </w:rPr>
      </w:pPr>
      <w:proofErr w:type="spellStart"/>
      <w:proofErr w:type="gramStart"/>
      <w:r>
        <w:rPr>
          <w:i/>
          <w:iCs/>
          <w:sz w:val="20"/>
          <w:szCs w:val="20"/>
        </w:rPr>
        <w:t>L</w:t>
      </w:r>
      <w:r>
        <w:rPr>
          <w:i/>
          <w:iCs/>
          <w:sz w:val="20"/>
          <w:szCs w:val="20"/>
          <w:vertAlign w:val="subscript"/>
        </w:rPr>
        <w:t>RRC,known</w:t>
      </w:r>
      <w:proofErr w:type="gramEnd"/>
      <w:r>
        <w:rPr>
          <w:i/>
          <w:iCs/>
          <w:sz w:val="20"/>
          <w:szCs w:val="20"/>
          <w:vertAlign w:val="subscript"/>
        </w:rPr>
        <w:t>,max</w:t>
      </w:r>
      <w:proofErr w:type="spellEnd"/>
      <w:r>
        <w:rPr>
          <w:i/>
          <w:iCs/>
          <w:sz w:val="20"/>
          <w:szCs w:val="20"/>
        </w:rPr>
        <w:t xml:space="preserve"> =[2] for T</w:t>
      </w:r>
      <w:r>
        <w:rPr>
          <w:i/>
          <w:iCs/>
          <w:sz w:val="20"/>
          <w:szCs w:val="20"/>
          <w:vertAlign w:val="subscript"/>
        </w:rPr>
        <w:t>SSB</w:t>
      </w:r>
      <w:r>
        <w:rPr>
          <w:i/>
          <w:iCs/>
          <w:sz w:val="20"/>
          <w:szCs w:val="20"/>
        </w:rPr>
        <w:t xml:space="preserve">≤40 </w:t>
      </w:r>
      <w:proofErr w:type="spellStart"/>
      <w:r>
        <w:rPr>
          <w:i/>
          <w:iCs/>
          <w:sz w:val="20"/>
          <w:szCs w:val="20"/>
        </w:rPr>
        <w:t>ms</w:t>
      </w:r>
      <w:proofErr w:type="spellEnd"/>
      <w:r>
        <w:rPr>
          <w:i/>
          <w:iCs/>
          <w:sz w:val="20"/>
          <w:szCs w:val="20"/>
        </w:rPr>
        <w:t xml:space="preserve">, </w:t>
      </w:r>
      <w:proofErr w:type="spellStart"/>
      <w:r>
        <w:rPr>
          <w:i/>
          <w:iCs/>
          <w:sz w:val="20"/>
          <w:szCs w:val="20"/>
        </w:rPr>
        <w:t>L</w:t>
      </w:r>
      <w:r>
        <w:rPr>
          <w:i/>
          <w:iCs/>
          <w:sz w:val="20"/>
          <w:szCs w:val="20"/>
          <w:vertAlign w:val="subscript"/>
        </w:rPr>
        <w:t>RRC,known,max</w:t>
      </w:r>
      <w:proofErr w:type="spellEnd"/>
      <w:r>
        <w:rPr>
          <w:i/>
          <w:iCs/>
          <w:sz w:val="20"/>
          <w:szCs w:val="20"/>
        </w:rPr>
        <w:t xml:space="preserve"> =[1] for T</w:t>
      </w:r>
      <w:r>
        <w:rPr>
          <w:i/>
          <w:iCs/>
          <w:sz w:val="20"/>
          <w:szCs w:val="20"/>
          <w:vertAlign w:val="subscript"/>
        </w:rPr>
        <w:t>SSB</w:t>
      </w:r>
      <w:r>
        <w:rPr>
          <w:i/>
          <w:iCs/>
          <w:sz w:val="20"/>
          <w:szCs w:val="20"/>
        </w:rPr>
        <w:t xml:space="preserve">&gt;40 </w:t>
      </w:r>
      <w:proofErr w:type="spellStart"/>
      <w:r>
        <w:rPr>
          <w:i/>
          <w:iCs/>
          <w:sz w:val="20"/>
          <w:szCs w:val="20"/>
        </w:rPr>
        <w:t>ms</w:t>
      </w:r>
      <w:proofErr w:type="spellEnd"/>
    </w:p>
    <w:p w14:paraId="4649C498" w14:textId="77777777" w:rsidR="000D02A4" w:rsidRDefault="00173C80">
      <w:pPr>
        <w:numPr>
          <w:ilvl w:val="2"/>
          <w:numId w:val="7"/>
        </w:numPr>
        <w:spacing w:after="20"/>
        <w:ind w:hanging="357"/>
        <w:rPr>
          <w:i/>
          <w:iCs/>
          <w:sz w:val="20"/>
          <w:szCs w:val="20"/>
        </w:rPr>
      </w:pPr>
      <w:r>
        <w:rPr>
          <w:i/>
          <w:iCs/>
          <w:sz w:val="20"/>
          <w:szCs w:val="20"/>
        </w:rPr>
        <w:t xml:space="preserve">Upon exceeding </w:t>
      </w:r>
      <w:proofErr w:type="spellStart"/>
      <w:proofErr w:type="gramStart"/>
      <w:r>
        <w:rPr>
          <w:i/>
          <w:iCs/>
          <w:sz w:val="20"/>
          <w:szCs w:val="20"/>
        </w:rPr>
        <w:t>L</w:t>
      </w:r>
      <w:r>
        <w:rPr>
          <w:i/>
          <w:iCs/>
          <w:sz w:val="20"/>
          <w:szCs w:val="20"/>
          <w:vertAlign w:val="subscript"/>
        </w:rPr>
        <w:t>RRC,known</w:t>
      </w:r>
      <w:proofErr w:type="gramEnd"/>
      <w:r>
        <w:rPr>
          <w:i/>
          <w:iCs/>
          <w:sz w:val="20"/>
          <w:szCs w:val="20"/>
          <w:vertAlign w:val="subscript"/>
        </w:rPr>
        <w:t>,max</w:t>
      </w:r>
      <w:proofErr w:type="spellEnd"/>
      <w:r>
        <w:rPr>
          <w:i/>
          <w:iCs/>
          <w:sz w:val="20"/>
          <w:szCs w:val="20"/>
        </w:rPr>
        <w:t xml:space="preserve"> the UE may stop the active TCI state switching procedure and </w:t>
      </w:r>
      <w:r>
        <w:rPr>
          <w:i/>
          <w:iCs/>
          <w:sz w:val="20"/>
          <w:szCs w:val="20"/>
          <w:highlight w:val="yellow"/>
        </w:rPr>
        <w:t>FFS: declare beam failure</w:t>
      </w:r>
    </w:p>
    <w:p w14:paraId="1707E6E5" w14:textId="77777777" w:rsidR="000D02A4" w:rsidRDefault="00173C80">
      <w:pPr>
        <w:numPr>
          <w:ilvl w:val="0"/>
          <w:numId w:val="7"/>
        </w:numPr>
        <w:spacing w:after="20"/>
        <w:ind w:hanging="357"/>
        <w:rPr>
          <w:i/>
          <w:iCs/>
          <w:sz w:val="20"/>
          <w:szCs w:val="20"/>
          <w:lang w:val="sv-SE"/>
        </w:rPr>
      </w:pPr>
      <w:r>
        <w:rPr>
          <w:i/>
          <w:iCs/>
          <w:sz w:val="20"/>
          <w:szCs w:val="20"/>
        </w:rPr>
        <w:t>MAC-CE based:</w:t>
      </w:r>
    </w:p>
    <w:p w14:paraId="25319358" w14:textId="77777777" w:rsidR="000D02A4" w:rsidRDefault="00173C80">
      <w:pPr>
        <w:numPr>
          <w:ilvl w:val="1"/>
          <w:numId w:val="7"/>
        </w:numPr>
        <w:spacing w:after="20"/>
        <w:ind w:hanging="357"/>
        <w:rPr>
          <w:i/>
          <w:iCs/>
          <w:sz w:val="20"/>
          <w:szCs w:val="20"/>
        </w:rPr>
      </w:pPr>
      <w:proofErr w:type="spellStart"/>
      <w:proofErr w:type="gramStart"/>
      <w:r>
        <w:rPr>
          <w:i/>
          <w:iCs/>
          <w:sz w:val="20"/>
          <w:szCs w:val="20"/>
        </w:rPr>
        <w:t>L</w:t>
      </w:r>
      <w:r>
        <w:rPr>
          <w:i/>
          <w:iCs/>
          <w:sz w:val="20"/>
          <w:szCs w:val="20"/>
          <w:vertAlign w:val="subscript"/>
        </w:rPr>
        <w:t>MAC,known</w:t>
      </w:r>
      <w:proofErr w:type="gramEnd"/>
      <w:r>
        <w:rPr>
          <w:i/>
          <w:iCs/>
          <w:sz w:val="20"/>
          <w:szCs w:val="20"/>
          <w:vertAlign w:val="subscript"/>
        </w:rPr>
        <w:t>,max</w:t>
      </w:r>
      <w:proofErr w:type="spellEnd"/>
      <w:r>
        <w:rPr>
          <w:i/>
          <w:iCs/>
          <w:sz w:val="20"/>
          <w:szCs w:val="20"/>
        </w:rPr>
        <w:t xml:space="preserve"> =[2] for T</w:t>
      </w:r>
      <w:r>
        <w:rPr>
          <w:i/>
          <w:iCs/>
          <w:sz w:val="20"/>
          <w:szCs w:val="20"/>
          <w:vertAlign w:val="subscript"/>
        </w:rPr>
        <w:t>SSB</w:t>
      </w:r>
      <w:r>
        <w:rPr>
          <w:i/>
          <w:iCs/>
          <w:sz w:val="20"/>
          <w:szCs w:val="20"/>
        </w:rPr>
        <w:t xml:space="preserve">≤40 </w:t>
      </w:r>
      <w:proofErr w:type="spellStart"/>
      <w:r>
        <w:rPr>
          <w:i/>
          <w:iCs/>
          <w:sz w:val="20"/>
          <w:szCs w:val="20"/>
        </w:rPr>
        <w:t>ms</w:t>
      </w:r>
      <w:proofErr w:type="spellEnd"/>
      <w:r>
        <w:rPr>
          <w:i/>
          <w:iCs/>
          <w:sz w:val="20"/>
          <w:szCs w:val="20"/>
        </w:rPr>
        <w:t xml:space="preserve">, </w:t>
      </w:r>
      <w:proofErr w:type="spellStart"/>
      <w:r>
        <w:rPr>
          <w:i/>
          <w:iCs/>
          <w:sz w:val="20"/>
          <w:szCs w:val="20"/>
        </w:rPr>
        <w:t>L</w:t>
      </w:r>
      <w:r>
        <w:rPr>
          <w:i/>
          <w:iCs/>
          <w:sz w:val="20"/>
          <w:szCs w:val="20"/>
          <w:vertAlign w:val="subscript"/>
        </w:rPr>
        <w:t>MAC,known,max</w:t>
      </w:r>
      <w:proofErr w:type="spellEnd"/>
      <w:r>
        <w:rPr>
          <w:i/>
          <w:iCs/>
          <w:sz w:val="20"/>
          <w:szCs w:val="20"/>
        </w:rPr>
        <w:t xml:space="preserve"> =[1] for T</w:t>
      </w:r>
      <w:r>
        <w:rPr>
          <w:i/>
          <w:iCs/>
          <w:sz w:val="20"/>
          <w:szCs w:val="20"/>
          <w:vertAlign w:val="subscript"/>
        </w:rPr>
        <w:t>SSB</w:t>
      </w:r>
      <w:r>
        <w:rPr>
          <w:i/>
          <w:iCs/>
          <w:sz w:val="20"/>
          <w:szCs w:val="20"/>
        </w:rPr>
        <w:t xml:space="preserve">&gt;40 </w:t>
      </w:r>
      <w:proofErr w:type="spellStart"/>
      <w:r>
        <w:rPr>
          <w:i/>
          <w:iCs/>
          <w:sz w:val="20"/>
          <w:szCs w:val="20"/>
        </w:rPr>
        <w:t>ms</w:t>
      </w:r>
      <w:proofErr w:type="spellEnd"/>
    </w:p>
    <w:p w14:paraId="79EE5AA0" w14:textId="77777777" w:rsidR="000D02A4" w:rsidRDefault="00173C80">
      <w:pPr>
        <w:numPr>
          <w:ilvl w:val="2"/>
          <w:numId w:val="7"/>
        </w:numPr>
        <w:spacing w:after="20"/>
        <w:ind w:hanging="357"/>
        <w:rPr>
          <w:i/>
          <w:iCs/>
          <w:sz w:val="20"/>
          <w:szCs w:val="20"/>
        </w:rPr>
      </w:pPr>
      <w:r>
        <w:rPr>
          <w:i/>
          <w:iCs/>
          <w:sz w:val="20"/>
          <w:szCs w:val="20"/>
        </w:rPr>
        <w:t xml:space="preserve">Upon exceeding </w:t>
      </w:r>
      <w:proofErr w:type="spellStart"/>
      <w:proofErr w:type="gramStart"/>
      <w:r>
        <w:rPr>
          <w:i/>
          <w:iCs/>
          <w:sz w:val="20"/>
          <w:szCs w:val="20"/>
        </w:rPr>
        <w:t>L</w:t>
      </w:r>
      <w:r>
        <w:rPr>
          <w:i/>
          <w:iCs/>
          <w:sz w:val="20"/>
          <w:szCs w:val="20"/>
          <w:vertAlign w:val="subscript"/>
        </w:rPr>
        <w:t>MAC,known</w:t>
      </w:r>
      <w:proofErr w:type="gramEnd"/>
      <w:r>
        <w:rPr>
          <w:i/>
          <w:iCs/>
          <w:sz w:val="20"/>
          <w:szCs w:val="20"/>
          <w:vertAlign w:val="subscript"/>
        </w:rPr>
        <w:t>,max</w:t>
      </w:r>
      <w:proofErr w:type="spellEnd"/>
      <w:r>
        <w:rPr>
          <w:i/>
          <w:iCs/>
          <w:sz w:val="20"/>
          <w:szCs w:val="20"/>
        </w:rPr>
        <w:t xml:space="preserve"> the UE may stop the active TCI state switching procedure and FFS: stay in the old state</w:t>
      </w:r>
    </w:p>
    <w:p w14:paraId="4817AD27" w14:textId="77777777" w:rsidR="000D02A4" w:rsidRDefault="00173C80">
      <w:pPr>
        <w:spacing w:after="60"/>
        <w:rPr>
          <w:i/>
          <w:iCs/>
          <w:sz w:val="20"/>
          <w:szCs w:val="20"/>
        </w:rPr>
      </w:pPr>
      <w:r>
        <w:rPr>
          <w:i/>
          <w:iCs/>
          <w:sz w:val="20"/>
          <w:szCs w:val="20"/>
          <w:u w:val="single"/>
        </w:rPr>
        <w:t>Unknown state</w:t>
      </w:r>
      <w:r>
        <w:rPr>
          <w:i/>
          <w:iCs/>
          <w:sz w:val="20"/>
          <w:szCs w:val="20"/>
        </w:rPr>
        <w:t>:</w:t>
      </w:r>
    </w:p>
    <w:p w14:paraId="4F5A82EA" w14:textId="77777777" w:rsidR="000D02A4" w:rsidRDefault="00173C80">
      <w:pPr>
        <w:numPr>
          <w:ilvl w:val="0"/>
          <w:numId w:val="8"/>
        </w:numPr>
        <w:spacing w:after="20"/>
        <w:ind w:hanging="357"/>
        <w:rPr>
          <w:i/>
          <w:iCs/>
          <w:sz w:val="20"/>
          <w:szCs w:val="20"/>
          <w:lang w:val="sv-SE"/>
        </w:rPr>
      </w:pPr>
      <w:r>
        <w:rPr>
          <w:i/>
          <w:iCs/>
          <w:sz w:val="20"/>
          <w:szCs w:val="20"/>
        </w:rPr>
        <w:t>RRC-based:</w:t>
      </w:r>
    </w:p>
    <w:p w14:paraId="5E5D2B5D" w14:textId="77777777" w:rsidR="000D02A4" w:rsidRDefault="00173C80">
      <w:pPr>
        <w:numPr>
          <w:ilvl w:val="1"/>
          <w:numId w:val="8"/>
        </w:numPr>
        <w:spacing w:after="20"/>
        <w:ind w:hanging="357"/>
        <w:rPr>
          <w:i/>
          <w:iCs/>
          <w:sz w:val="20"/>
          <w:szCs w:val="20"/>
        </w:rPr>
      </w:pPr>
      <w:r>
        <w:rPr>
          <w:i/>
          <w:iCs/>
          <w:sz w:val="20"/>
          <w:szCs w:val="20"/>
        </w:rPr>
        <w:t>L1</w:t>
      </w:r>
      <w:proofErr w:type="gramStart"/>
      <w:r>
        <w:rPr>
          <w:i/>
          <w:iCs/>
          <w:sz w:val="20"/>
          <w:szCs w:val="20"/>
          <w:vertAlign w:val="subscript"/>
        </w:rPr>
        <w:t>RRC,unknown</w:t>
      </w:r>
      <w:proofErr w:type="gramEnd"/>
      <w:r>
        <w:rPr>
          <w:i/>
          <w:iCs/>
          <w:sz w:val="20"/>
          <w:szCs w:val="20"/>
          <w:vertAlign w:val="subscript"/>
        </w:rPr>
        <w:t>,max</w:t>
      </w:r>
      <w:r>
        <w:rPr>
          <w:i/>
          <w:iCs/>
          <w:sz w:val="20"/>
          <w:szCs w:val="20"/>
        </w:rPr>
        <w:t xml:space="preserve"> =[2] for T</w:t>
      </w:r>
      <w:r>
        <w:rPr>
          <w:i/>
          <w:iCs/>
          <w:sz w:val="20"/>
          <w:szCs w:val="20"/>
          <w:vertAlign w:val="subscript"/>
        </w:rPr>
        <w:t>CSI-RS/SSB</w:t>
      </w:r>
      <w:r>
        <w:rPr>
          <w:i/>
          <w:iCs/>
          <w:sz w:val="20"/>
          <w:szCs w:val="20"/>
        </w:rPr>
        <w:t xml:space="preserve"> ≤40 </w:t>
      </w:r>
      <w:proofErr w:type="spellStart"/>
      <w:r>
        <w:rPr>
          <w:i/>
          <w:iCs/>
          <w:sz w:val="20"/>
          <w:szCs w:val="20"/>
        </w:rPr>
        <w:t>ms</w:t>
      </w:r>
      <w:proofErr w:type="spellEnd"/>
      <w:r>
        <w:rPr>
          <w:i/>
          <w:iCs/>
          <w:sz w:val="20"/>
          <w:szCs w:val="20"/>
        </w:rPr>
        <w:t>, L1</w:t>
      </w:r>
      <w:r>
        <w:rPr>
          <w:i/>
          <w:iCs/>
          <w:sz w:val="20"/>
          <w:szCs w:val="20"/>
          <w:vertAlign w:val="subscript"/>
        </w:rPr>
        <w:t>MAC,unknown,max</w:t>
      </w:r>
      <w:r>
        <w:rPr>
          <w:i/>
          <w:iCs/>
          <w:sz w:val="20"/>
          <w:szCs w:val="20"/>
        </w:rPr>
        <w:t xml:space="preserve"> = [1] for T</w:t>
      </w:r>
      <w:r>
        <w:rPr>
          <w:i/>
          <w:iCs/>
          <w:sz w:val="20"/>
          <w:szCs w:val="20"/>
          <w:vertAlign w:val="subscript"/>
        </w:rPr>
        <w:t>CSI-RS/SSB</w:t>
      </w:r>
      <w:r>
        <w:rPr>
          <w:i/>
          <w:iCs/>
          <w:sz w:val="20"/>
          <w:szCs w:val="20"/>
        </w:rPr>
        <w:t xml:space="preserve">&gt;40 </w:t>
      </w:r>
      <w:proofErr w:type="spellStart"/>
      <w:r>
        <w:rPr>
          <w:i/>
          <w:iCs/>
          <w:sz w:val="20"/>
          <w:szCs w:val="20"/>
        </w:rPr>
        <w:t>ms</w:t>
      </w:r>
      <w:proofErr w:type="spellEnd"/>
    </w:p>
    <w:p w14:paraId="37557F41" w14:textId="77777777" w:rsidR="000D02A4" w:rsidRDefault="00173C80">
      <w:pPr>
        <w:numPr>
          <w:ilvl w:val="1"/>
          <w:numId w:val="8"/>
        </w:numPr>
        <w:spacing w:after="20"/>
        <w:ind w:hanging="357"/>
        <w:rPr>
          <w:i/>
          <w:iCs/>
          <w:sz w:val="20"/>
          <w:szCs w:val="20"/>
        </w:rPr>
      </w:pPr>
      <w:r>
        <w:rPr>
          <w:i/>
          <w:iCs/>
          <w:sz w:val="20"/>
          <w:szCs w:val="20"/>
        </w:rPr>
        <w:t>L2</w:t>
      </w:r>
      <w:proofErr w:type="gramStart"/>
      <w:r>
        <w:rPr>
          <w:i/>
          <w:iCs/>
          <w:sz w:val="20"/>
          <w:szCs w:val="20"/>
          <w:vertAlign w:val="subscript"/>
        </w:rPr>
        <w:t>RRC,unknown</w:t>
      </w:r>
      <w:proofErr w:type="gramEnd"/>
      <w:r>
        <w:rPr>
          <w:i/>
          <w:iCs/>
          <w:sz w:val="20"/>
          <w:szCs w:val="20"/>
          <w:vertAlign w:val="subscript"/>
        </w:rPr>
        <w:t>,max</w:t>
      </w:r>
      <w:r>
        <w:rPr>
          <w:i/>
          <w:iCs/>
          <w:sz w:val="20"/>
          <w:szCs w:val="20"/>
        </w:rPr>
        <w:t xml:space="preserve"> =[2] for T</w:t>
      </w:r>
      <w:r>
        <w:rPr>
          <w:i/>
          <w:iCs/>
          <w:sz w:val="20"/>
          <w:szCs w:val="20"/>
          <w:vertAlign w:val="subscript"/>
        </w:rPr>
        <w:t>SSB</w:t>
      </w:r>
      <w:r>
        <w:rPr>
          <w:i/>
          <w:iCs/>
          <w:sz w:val="20"/>
          <w:szCs w:val="20"/>
        </w:rPr>
        <w:t xml:space="preserve"> ≤40 </w:t>
      </w:r>
      <w:proofErr w:type="spellStart"/>
      <w:r>
        <w:rPr>
          <w:i/>
          <w:iCs/>
          <w:sz w:val="20"/>
          <w:szCs w:val="20"/>
        </w:rPr>
        <w:t>ms</w:t>
      </w:r>
      <w:proofErr w:type="spellEnd"/>
      <w:r>
        <w:rPr>
          <w:i/>
          <w:iCs/>
          <w:sz w:val="20"/>
          <w:szCs w:val="20"/>
        </w:rPr>
        <w:t>, L2</w:t>
      </w:r>
      <w:r>
        <w:rPr>
          <w:i/>
          <w:iCs/>
          <w:sz w:val="20"/>
          <w:szCs w:val="20"/>
          <w:vertAlign w:val="subscript"/>
        </w:rPr>
        <w:t>MAC,unknown,max</w:t>
      </w:r>
      <w:r>
        <w:rPr>
          <w:i/>
          <w:iCs/>
          <w:sz w:val="20"/>
          <w:szCs w:val="20"/>
        </w:rPr>
        <w:t xml:space="preserve"> = [1] for T</w:t>
      </w:r>
      <w:r>
        <w:rPr>
          <w:i/>
          <w:iCs/>
          <w:sz w:val="20"/>
          <w:szCs w:val="20"/>
          <w:vertAlign w:val="subscript"/>
        </w:rPr>
        <w:t>SSB</w:t>
      </w:r>
      <w:r>
        <w:rPr>
          <w:i/>
          <w:iCs/>
          <w:sz w:val="20"/>
          <w:szCs w:val="20"/>
        </w:rPr>
        <w:t xml:space="preserve">&gt;40 </w:t>
      </w:r>
      <w:proofErr w:type="spellStart"/>
      <w:r>
        <w:rPr>
          <w:i/>
          <w:iCs/>
          <w:sz w:val="20"/>
          <w:szCs w:val="20"/>
        </w:rPr>
        <w:t>ms</w:t>
      </w:r>
      <w:proofErr w:type="spellEnd"/>
      <w:r>
        <w:rPr>
          <w:i/>
          <w:iCs/>
          <w:sz w:val="20"/>
          <w:szCs w:val="20"/>
        </w:rPr>
        <w:t xml:space="preserve"> </w:t>
      </w:r>
    </w:p>
    <w:p w14:paraId="65FFACBD" w14:textId="77777777" w:rsidR="000D02A4" w:rsidRDefault="00173C80">
      <w:pPr>
        <w:numPr>
          <w:ilvl w:val="1"/>
          <w:numId w:val="8"/>
        </w:numPr>
        <w:spacing w:after="20"/>
        <w:ind w:hanging="357"/>
        <w:rPr>
          <w:i/>
          <w:iCs/>
          <w:sz w:val="20"/>
          <w:szCs w:val="20"/>
        </w:rPr>
      </w:pPr>
      <w:r>
        <w:rPr>
          <w:i/>
          <w:iCs/>
          <w:sz w:val="20"/>
          <w:szCs w:val="20"/>
        </w:rPr>
        <w:t>Upon exceeding L1</w:t>
      </w:r>
      <w:proofErr w:type="gramStart"/>
      <w:r>
        <w:rPr>
          <w:i/>
          <w:iCs/>
          <w:sz w:val="20"/>
          <w:szCs w:val="20"/>
          <w:vertAlign w:val="subscript"/>
        </w:rPr>
        <w:t>RRC,unknown</w:t>
      </w:r>
      <w:proofErr w:type="gramEnd"/>
      <w:r>
        <w:rPr>
          <w:i/>
          <w:iCs/>
          <w:sz w:val="20"/>
          <w:szCs w:val="20"/>
          <w:vertAlign w:val="subscript"/>
        </w:rPr>
        <w:t>,max</w:t>
      </w:r>
      <w:r>
        <w:rPr>
          <w:i/>
          <w:iCs/>
          <w:sz w:val="20"/>
          <w:szCs w:val="20"/>
        </w:rPr>
        <w:t xml:space="preserve"> or L2</w:t>
      </w:r>
      <w:r>
        <w:rPr>
          <w:i/>
          <w:iCs/>
          <w:sz w:val="20"/>
          <w:szCs w:val="20"/>
          <w:vertAlign w:val="subscript"/>
        </w:rPr>
        <w:t>RRC,unknown,max</w:t>
      </w:r>
      <w:r>
        <w:rPr>
          <w:i/>
          <w:iCs/>
          <w:sz w:val="20"/>
          <w:szCs w:val="20"/>
        </w:rPr>
        <w:t xml:space="preserve"> the UE may abandon the active TCI state switching procedure </w:t>
      </w:r>
      <w:r>
        <w:rPr>
          <w:i/>
          <w:iCs/>
          <w:sz w:val="20"/>
          <w:szCs w:val="20"/>
          <w:highlight w:val="yellow"/>
        </w:rPr>
        <w:t>and FFS: declare beam failure</w:t>
      </w:r>
    </w:p>
    <w:p w14:paraId="1C92BD7B" w14:textId="77777777" w:rsidR="000D02A4" w:rsidRDefault="00173C80">
      <w:pPr>
        <w:numPr>
          <w:ilvl w:val="0"/>
          <w:numId w:val="8"/>
        </w:numPr>
        <w:spacing w:after="20"/>
        <w:ind w:hanging="357"/>
        <w:rPr>
          <w:i/>
          <w:iCs/>
          <w:sz w:val="20"/>
          <w:szCs w:val="20"/>
          <w:lang w:val="sv-SE"/>
        </w:rPr>
      </w:pPr>
      <w:r>
        <w:rPr>
          <w:i/>
          <w:iCs/>
          <w:sz w:val="20"/>
          <w:szCs w:val="20"/>
        </w:rPr>
        <w:t>MAC-CE based switching:</w:t>
      </w:r>
    </w:p>
    <w:p w14:paraId="447BE3F6" w14:textId="77777777" w:rsidR="000D02A4" w:rsidRDefault="00173C80">
      <w:pPr>
        <w:numPr>
          <w:ilvl w:val="1"/>
          <w:numId w:val="8"/>
        </w:numPr>
        <w:spacing w:after="20"/>
        <w:ind w:hanging="357"/>
        <w:rPr>
          <w:i/>
          <w:iCs/>
          <w:sz w:val="20"/>
          <w:szCs w:val="20"/>
        </w:rPr>
      </w:pPr>
      <w:r>
        <w:rPr>
          <w:i/>
          <w:iCs/>
          <w:sz w:val="20"/>
          <w:szCs w:val="20"/>
        </w:rPr>
        <w:t>L1</w:t>
      </w:r>
      <w:proofErr w:type="gramStart"/>
      <w:r>
        <w:rPr>
          <w:i/>
          <w:iCs/>
          <w:sz w:val="20"/>
          <w:szCs w:val="20"/>
          <w:vertAlign w:val="subscript"/>
        </w:rPr>
        <w:t>MAC,unknown</w:t>
      </w:r>
      <w:proofErr w:type="gramEnd"/>
      <w:r>
        <w:rPr>
          <w:i/>
          <w:iCs/>
          <w:sz w:val="20"/>
          <w:szCs w:val="20"/>
          <w:vertAlign w:val="subscript"/>
        </w:rPr>
        <w:t>,max</w:t>
      </w:r>
      <w:r>
        <w:rPr>
          <w:i/>
          <w:iCs/>
          <w:sz w:val="20"/>
          <w:szCs w:val="20"/>
        </w:rPr>
        <w:t xml:space="preserve"> = [2] for T</w:t>
      </w:r>
      <w:r>
        <w:rPr>
          <w:i/>
          <w:iCs/>
          <w:sz w:val="20"/>
          <w:szCs w:val="20"/>
          <w:vertAlign w:val="subscript"/>
        </w:rPr>
        <w:t>CSI-RS/SSB</w:t>
      </w:r>
      <w:r>
        <w:rPr>
          <w:i/>
          <w:iCs/>
          <w:sz w:val="20"/>
          <w:szCs w:val="20"/>
        </w:rPr>
        <w:t xml:space="preserve">≤40 </w:t>
      </w:r>
      <w:proofErr w:type="spellStart"/>
      <w:r>
        <w:rPr>
          <w:i/>
          <w:iCs/>
          <w:sz w:val="20"/>
          <w:szCs w:val="20"/>
        </w:rPr>
        <w:t>ms</w:t>
      </w:r>
      <w:proofErr w:type="spellEnd"/>
      <w:r>
        <w:rPr>
          <w:i/>
          <w:iCs/>
          <w:sz w:val="20"/>
          <w:szCs w:val="20"/>
        </w:rPr>
        <w:t>, L1</w:t>
      </w:r>
      <w:r>
        <w:rPr>
          <w:i/>
          <w:iCs/>
          <w:sz w:val="20"/>
          <w:szCs w:val="20"/>
          <w:vertAlign w:val="subscript"/>
        </w:rPr>
        <w:t>MAC,unknown,max</w:t>
      </w:r>
      <w:r>
        <w:rPr>
          <w:i/>
          <w:iCs/>
          <w:sz w:val="20"/>
          <w:szCs w:val="20"/>
        </w:rPr>
        <w:t xml:space="preserve"> = [1] for T</w:t>
      </w:r>
      <w:r>
        <w:rPr>
          <w:i/>
          <w:iCs/>
          <w:sz w:val="20"/>
          <w:szCs w:val="20"/>
          <w:vertAlign w:val="subscript"/>
        </w:rPr>
        <w:t>CSI-RS/SSB</w:t>
      </w:r>
      <w:r>
        <w:rPr>
          <w:i/>
          <w:iCs/>
          <w:sz w:val="20"/>
          <w:szCs w:val="20"/>
        </w:rPr>
        <w:t xml:space="preserve">&gt;40 </w:t>
      </w:r>
      <w:proofErr w:type="spellStart"/>
      <w:r>
        <w:rPr>
          <w:i/>
          <w:iCs/>
          <w:sz w:val="20"/>
          <w:szCs w:val="20"/>
        </w:rPr>
        <w:t>ms</w:t>
      </w:r>
      <w:proofErr w:type="spellEnd"/>
    </w:p>
    <w:p w14:paraId="5FE52AC2" w14:textId="77777777" w:rsidR="000D02A4" w:rsidRDefault="00173C80">
      <w:pPr>
        <w:numPr>
          <w:ilvl w:val="1"/>
          <w:numId w:val="8"/>
        </w:numPr>
        <w:spacing w:after="20"/>
        <w:ind w:hanging="357"/>
        <w:rPr>
          <w:i/>
          <w:iCs/>
          <w:sz w:val="20"/>
          <w:szCs w:val="20"/>
        </w:rPr>
      </w:pPr>
      <w:r>
        <w:rPr>
          <w:i/>
          <w:iCs/>
          <w:sz w:val="20"/>
          <w:szCs w:val="20"/>
        </w:rPr>
        <w:t>L2</w:t>
      </w:r>
      <w:proofErr w:type="gramStart"/>
      <w:r>
        <w:rPr>
          <w:i/>
          <w:iCs/>
          <w:sz w:val="20"/>
          <w:szCs w:val="20"/>
          <w:vertAlign w:val="subscript"/>
        </w:rPr>
        <w:t>MAC,unknown</w:t>
      </w:r>
      <w:proofErr w:type="gramEnd"/>
      <w:r>
        <w:rPr>
          <w:i/>
          <w:iCs/>
          <w:sz w:val="20"/>
          <w:szCs w:val="20"/>
          <w:vertAlign w:val="subscript"/>
        </w:rPr>
        <w:t>,max</w:t>
      </w:r>
      <w:r>
        <w:rPr>
          <w:i/>
          <w:iCs/>
          <w:sz w:val="20"/>
          <w:szCs w:val="20"/>
        </w:rPr>
        <w:t xml:space="preserve"> =[2] for T</w:t>
      </w:r>
      <w:r>
        <w:rPr>
          <w:i/>
          <w:iCs/>
          <w:sz w:val="20"/>
          <w:szCs w:val="20"/>
          <w:vertAlign w:val="subscript"/>
        </w:rPr>
        <w:t>SSB</w:t>
      </w:r>
      <w:r>
        <w:rPr>
          <w:i/>
          <w:iCs/>
          <w:sz w:val="20"/>
          <w:szCs w:val="20"/>
        </w:rPr>
        <w:t xml:space="preserve">≤40 </w:t>
      </w:r>
      <w:proofErr w:type="spellStart"/>
      <w:r>
        <w:rPr>
          <w:i/>
          <w:iCs/>
          <w:sz w:val="20"/>
          <w:szCs w:val="20"/>
        </w:rPr>
        <w:t>ms</w:t>
      </w:r>
      <w:proofErr w:type="spellEnd"/>
      <w:r>
        <w:rPr>
          <w:i/>
          <w:iCs/>
          <w:sz w:val="20"/>
          <w:szCs w:val="20"/>
        </w:rPr>
        <w:t>, L2</w:t>
      </w:r>
      <w:r>
        <w:rPr>
          <w:i/>
          <w:iCs/>
          <w:sz w:val="20"/>
          <w:szCs w:val="20"/>
          <w:vertAlign w:val="subscript"/>
        </w:rPr>
        <w:t>MAC,unknown,max</w:t>
      </w:r>
      <w:r>
        <w:rPr>
          <w:i/>
          <w:iCs/>
          <w:sz w:val="20"/>
          <w:szCs w:val="20"/>
        </w:rPr>
        <w:t xml:space="preserve"> = [1] for T</w:t>
      </w:r>
      <w:r>
        <w:rPr>
          <w:i/>
          <w:iCs/>
          <w:sz w:val="20"/>
          <w:szCs w:val="20"/>
          <w:vertAlign w:val="subscript"/>
        </w:rPr>
        <w:t>SSB</w:t>
      </w:r>
      <w:r>
        <w:rPr>
          <w:i/>
          <w:iCs/>
          <w:sz w:val="20"/>
          <w:szCs w:val="20"/>
        </w:rPr>
        <w:t xml:space="preserve">&gt;40 </w:t>
      </w:r>
      <w:proofErr w:type="spellStart"/>
      <w:r>
        <w:rPr>
          <w:i/>
          <w:iCs/>
          <w:sz w:val="20"/>
          <w:szCs w:val="20"/>
        </w:rPr>
        <w:t>ms</w:t>
      </w:r>
      <w:proofErr w:type="spellEnd"/>
    </w:p>
    <w:p w14:paraId="75A63EDF" w14:textId="77777777" w:rsidR="000D02A4" w:rsidRDefault="00173C80">
      <w:pPr>
        <w:numPr>
          <w:ilvl w:val="1"/>
          <w:numId w:val="8"/>
        </w:numPr>
        <w:spacing w:after="20"/>
        <w:ind w:hanging="357"/>
        <w:rPr>
          <w:i/>
          <w:iCs/>
          <w:sz w:val="20"/>
          <w:szCs w:val="20"/>
        </w:rPr>
      </w:pPr>
      <w:r>
        <w:rPr>
          <w:i/>
          <w:iCs/>
          <w:sz w:val="20"/>
          <w:szCs w:val="20"/>
        </w:rPr>
        <w:t>Upon exceeding L1</w:t>
      </w:r>
      <w:proofErr w:type="gramStart"/>
      <w:r>
        <w:rPr>
          <w:i/>
          <w:iCs/>
          <w:sz w:val="20"/>
          <w:szCs w:val="20"/>
          <w:vertAlign w:val="subscript"/>
        </w:rPr>
        <w:t>MAC,unknown</w:t>
      </w:r>
      <w:proofErr w:type="gramEnd"/>
      <w:r>
        <w:rPr>
          <w:i/>
          <w:iCs/>
          <w:sz w:val="20"/>
          <w:szCs w:val="20"/>
          <w:vertAlign w:val="subscript"/>
        </w:rPr>
        <w:t>,max</w:t>
      </w:r>
      <w:r>
        <w:rPr>
          <w:i/>
          <w:iCs/>
          <w:sz w:val="20"/>
          <w:szCs w:val="20"/>
        </w:rPr>
        <w:t xml:space="preserve"> or L2</w:t>
      </w:r>
      <w:r>
        <w:rPr>
          <w:i/>
          <w:iCs/>
          <w:sz w:val="20"/>
          <w:szCs w:val="20"/>
          <w:vertAlign w:val="subscript"/>
        </w:rPr>
        <w:t>MAC,unknown,max</w:t>
      </w:r>
      <w:r>
        <w:rPr>
          <w:i/>
          <w:iCs/>
          <w:sz w:val="20"/>
          <w:szCs w:val="20"/>
        </w:rPr>
        <w:t xml:space="preserve"> the UE may stop the active TCI state switching procedure and FFS: stay in the old state</w:t>
      </w:r>
    </w:p>
    <w:p w14:paraId="05C6EE85" w14:textId="77777777" w:rsidR="000D02A4" w:rsidRDefault="000D02A4">
      <w:pPr>
        <w:spacing w:after="60"/>
        <w:rPr>
          <w:rFonts w:cs="Arial"/>
          <w:color w:val="000000"/>
          <w:sz w:val="20"/>
          <w:szCs w:val="20"/>
        </w:rPr>
      </w:pPr>
    </w:p>
    <w:p w14:paraId="3BB92162" w14:textId="77777777" w:rsidR="000D02A4" w:rsidRDefault="00173C80">
      <w:pPr>
        <w:spacing w:after="180" w:line="260" w:lineRule="auto"/>
        <w:rPr>
          <w:rFonts w:cs="Arial"/>
          <w:color w:val="000000"/>
          <w:sz w:val="20"/>
          <w:szCs w:val="20"/>
        </w:rPr>
      </w:pPr>
      <w:r>
        <w:rPr>
          <w:i/>
          <w:iCs/>
          <w:color w:val="000000"/>
          <w:sz w:val="20"/>
          <w:szCs w:val="20"/>
          <w:lang w:val="en-US"/>
        </w:rPr>
        <w:lastRenderedPageBreak/>
        <w:t xml:space="preserve">In the above, </w:t>
      </w:r>
      <w:r>
        <w:rPr>
          <w:i/>
          <w:iCs/>
          <w:color w:val="000000"/>
          <w:sz w:val="20"/>
          <w:szCs w:val="20"/>
        </w:rPr>
        <w:t>L</w:t>
      </w:r>
      <w:proofErr w:type="gramStart"/>
      <w:r>
        <w:rPr>
          <w:i/>
          <w:iCs/>
          <w:color w:val="000000"/>
          <w:sz w:val="20"/>
          <w:szCs w:val="20"/>
          <w:vertAlign w:val="subscript"/>
          <w:lang w:val="en-US"/>
        </w:rPr>
        <w:t>*,max</w:t>
      </w:r>
      <w:proofErr w:type="gramEnd"/>
      <w:r>
        <w:rPr>
          <w:i/>
          <w:iCs/>
          <w:color w:val="000000"/>
          <w:sz w:val="20"/>
          <w:szCs w:val="20"/>
          <w:lang w:val="en-US"/>
        </w:rPr>
        <w:t xml:space="preserve"> is</w:t>
      </w:r>
      <w:r>
        <w:rPr>
          <w:i/>
          <w:iCs/>
          <w:color w:val="000000"/>
          <w:sz w:val="20"/>
          <w:szCs w:val="20"/>
        </w:rPr>
        <w:t xml:space="preserve"> the </w:t>
      </w:r>
      <w:r>
        <w:rPr>
          <w:i/>
          <w:iCs/>
          <w:color w:val="000000"/>
          <w:sz w:val="20"/>
          <w:szCs w:val="20"/>
          <w:lang w:val="en-US"/>
        </w:rPr>
        <w:t xml:space="preserve">maximum </w:t>
      </w:r>
      <w:r>
        <w:rPr>
          <w:i/>
          <w:iCs/>
          <w:color w:val="000000"/>
          <w:sz w:val="20"/>
          <w:szCs w:val="20"/>
        </w:rPr>
        <w:t>number of SSB occasions not available at the UE due to CCA failure</w:t>
      </w:r>
      <w:r>
        <w:rPr>
          <w:i/>
          <w:iCs/>
          <w:color w:val="000000"/>
          <w:sz w:val="20"/>
          <w:szCs w:val="20"/>
          <w:lang w:val="en-US"/>
        </w:rPr>
        <w:t xml:space="preserve"> for the corresponding state and switching type.</w:t>
      </w:r>
    </w:p>
    <w:p w14:paraId="484287DD" w14:textId="77777777" w:rsidR="000D02A4" w:rsidRDefault="00173C80">
      <w:pPr>
        <w:spacing w:after="60"/>
        <w:rPr>
          <w:rFonts w:cs="Arial"/>
          <w:color w:val="000000"/>
          <w:sz w:val="20"/>
          <w:szCs w:val="20"/>
        </w:rPr>
      </w:pPr>
      <w:r>
        <w:rPr>
          <w:rFonts w:cs="Arial"/>
          <w:color w:val="000000"/>
          <w:sz w:val="20"/>
          <w:szCs w:val="20"/>
        </w:rPr>
        <w:t>RAN4 would like to ask the feedback on whether the UE shall declare beam failure due to LBT failures when configured with RRC</w:t>
      </w:r>
      <w:r>
        <w:rPr>
          <w:rFonts w:cs="Arial" w:hint="eastAsia"/>
          <w:color w:val="000000"/>
          <w:sz w:val="20"/>
          <w:szCs w:val="20"/>
          <w:lang w:val="en-US" w:eastAsia="zh-CN"/>
        </w:rPr>
        <w:t xml:space="preserve"> </w:t>
      </w:r>
      <w:r>
        <w:rPr>
          <w:rFonts w:cs="Arial"/>
          <w:color w:val="000000"/>
          <w:sz w:val="20"/>
          <w:szCs w:val="20"/>
        </w:rPr>
        <w:t>based active TCI state switching.</w:t>
      </w:r>
      <w:r>
        <w:rPr>
          <w:rFonts w:cs="Arial" w:hint="eastAsia"/>
          <w:color w:val="000000"/>
          <w:sz w:val="20"/>
          <w:szCs w:val="20"/>
          <w:lang w:val="en-US" w:eastAsia="zh-CN"/>
        </w:rPr>
        <w:t xml:space="preserve"> </w:t>
      </w:r>
      <w:r>
        <w:rPr>
          <w:rFonts w:cs="Arial"/>
          <w:color w:val="000000"/>
          <w:sz w:val="20"/>
          <w:szCs w:val="20"/>
        </w:rPr>
        <w:t xml:space="preserve">In this contribution, we analyse </w:t>
      </w:r>
      <w:r>
        <w:rPr>
          <w:rFonts w:eastAsia="SimSun" w:cs="Arial" w:hint="eastAsia"/>
          <w:color w:val="000000"/>
          <w:sz w:val="20"/>
          <w:szCs w:val="20"/>
          <w:lang w:val="en-US" w:eastAsia="zh-CN"/>
        </w:rPr>
        <w:t>the</w:t>
      </w:r>
      <w:r>
        <w:rPr>
          <w:rFonts w:cs="Arial"/>
          <w:color w:val="000000"/>
          <w:sz w:val="20"/>
          <w:szCs w:val="20"/>
        </w:rPr>
        <w:t xml:space="preserve"> LS and </w:t>
      </w:r>
      <w:r>
        <w:rPr>
          <w:rFonts w:eastAsia="SimSun" w:cs="Arial" w:hint="eastAsia"/>
          <w:color w:val="000000"/>
          <w:sz w:val="20"/>
          <w:szCs w:val="20"/>
          <w:lang w:val="en-US" w:eastAsia="zh-CN"/>
        </w:rPr>
        <w:t>provide our views</w:t>
      </w:r>
      <w:r>
        <w:rPr>
          <w:rFonts w:cs="Arial"/>
          <w:color w:val="000000"/>
          <w:sz w:val="20"/>
          <w:szCs w:val="20"/>
        </w:rPr>
        <w:t xml:space="preserve">. </w:t>
      </w:r>
    </w:p>
    <w:p w14:paraId="3B630C44" w14:textId="77777777" w:rsidR="000D02A4" w:rsidRDefault="00173C8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hint="eastAsia"/>
          <w:b w:val="0"/>
          <w:bCs w:val="0"/>
          <w:kern w:val="0"/>
          <w:sz w:val="32"/>
          <w:szCs w:val="36"/>
          <w:lang w:val="en-US" w:eastAsia="zh-CN"/>
        </w:rPr>
        <w:t>Discussion</w:t>
      </w:r>
    </w:p>
    <w:p w14:paraId="61DA6484" w14:textId="64714A7F" w:rsidR="000D02A4" w:rsidRDefault="00173C80">
      <w:pPr>
        <w:pStyle w:val="NormalWeb"/>
        <w:spacing w:before="75" w:beforeAutospacing="0" w:after="75" w:afterAutospacing="0" w:line="315" w:lineRule="atLeast"/>
        <w:jc w:val="both"/>
        <w:rPr>
          <w:rFonts w:eastAsia="SimSun" w:cs="Arial"/>
          <w:color w:val="000000"/>
          <w:sz w:val="20"/>
          <w:szCs w:val="20"/>
          <w:lang w:val="en-US" w:eastAsia="zh-CN"/>
        </w:rPr>
      </w:pPr>
      <w:r>
        <w:rPr>
          <w:rFonts w:eastAsia="SimSun" w:cs="Arial" w:hint="eastAsia"/>
          <w:color w:val="000000"/>
          <w:sz w:val="20"/>
          <w:szCs w:val="20"/>
          <w:lang w:val="en-US" w:eastAsia="zh-CN"/>
        </w:rPr>
        <w:t>For RRC based and MAC CE based TCI state switching procedure, the UE may fail to receive DRS due to DL LBT failure</w:t>
      </w:r>
      <w:r w:rsidR="00B97E5C">
        <w:rPr>
          <w:rFonts w:eastAsia="SimSun" w:cs="Arial"/>
          <w:color w:val="000000"/>
          <w:sz w:val="20"/>
          <w:szCs w:val="20"/>
          <w:lang w:val="en-US" w:eastAsia="zh-CN"/>
        </w:rPr>
        <w:t xml:space="preserve"> at the </w:t>
      </w:r>
      <w:proofErr w:type="spellStart"/>
      <w:r w:rsidR="00B97E5C">
        <w:rPr>
          <w:rFonts w:eastAsia="SimSun" w:cs="Arial"/>
          <w:color w:val="000000"/>
          <w:sz w:val="20"/>
          <w:szCs w:val="20"/>
          <w:lang w:val="en-US" w:eastAsia="zh-CN"/>
        </w:rPr>
        <w:t>gNB</w:t>
      </w:r>
      <w:proofErr w:type="spellEnd"/>
      <w:r w:rsidR="002D0B95">
        <w:rPr>
          <w:rFonts w:eastAsia="SimSun" w:cs="Arial"/>
          <w:color w:val="000000"/>
          <w:sz w:val="20"/>
          <w:szCs w:val="20"/>
          <w:lang w:val="en-US" w:eastAsia="zh-CN"/>
        </w:rPr>
        <w:t>. This</w:t>
      </w:r>
      <w:r>
        <w:rPr>
          <w:rFonts w:eastAsia="SimSun" w:cs="Arial" w:hint="eastAsia"/>
          <w:color w:val="000000"/>
          <w:sz w:val="20"/>
          <w:szCs w:val="20"/>
          <w:lang w:val="en-US" w:eastAsia="zh-CN"/>
        </w:rPr>
        <w:t xml:space="preserve"> can result in a longer time to complete the active TCI state switching. Hence the TCI state switching requirements limit the maximum acceptable number of missed DRS occasions due to LBT</w:t>
      </w:r>
      <w:r w:rsidR="002D0B95">
        <w:rPr>
          <w:rFonts w:eastAsia="SimSun" w:cs="Arial"/>
          <w:color w:val="000000"/>
          <w:sz w:val="20"/>
          <w:szCs w:val="20"/>
          <w:lang w:val="en-US" w:eastAsia="zh-CN"/>
        </w:rPr>
        <w:t xml:space="preserve"> failures</w:t>
      </w:r>
      <w:r>
        <w:rPr>
          <w:rFonts w:eastAsia="SimSun" w:cs="Arial" w:hint="eastAsia"/>
          <w:color w:val="000000"/>
          <w:sz w:val="20"/>
          <w:szCs w:val="20"/>
          <w:lang w:val="en-US" w:eastAsia="zh-CN"/>
        </w:rPr>
        <w:t>. Some related agreements from RAN4 are as below:</w:t>
      </w:r>
    </w:p>
    <w:p w14:paraId="124F17AA" w14:textId="77777777" w:rsidR="000D02A4" w:rsidRDefault="00173C80">
      <w:pPr>
        <w:spacing w:after="60"/>
        <w:rPr>
          <w:rFonts w:eastAsia="SimSun" w:cs="Arial"/>
          <w:color w:val="000000"/>
          <w:sz w:val="20"/>
          <w:szCs w:val="20"/>
          <w:lang w:val="en-US" w:eastAsia="zh-CN"/>
        </w:rPr>
      </w:pPr>
      <w:r>
        <w:rPr>
          <w:i/>
          <w:iCs/>
          <w:sz w:val="20"/>
          <w:szCs w:val="20"/>
          <w:u w:val="single"/>
        </w:rPr>
        <w:t>Known state</w:t>
      </w:r>
      <w:r>
        <w:rPr>
          <w:i/>
          <w:iCs/>
          <w:sz w:val="20"/>
          <w:szCs w:val="20"/>
        </w:rPr>
        <w:t>:</w:t>
      </w:r>
    </w:p>
    <w:p w14:paraId="7F4B83F6" w14:textId="77777777" w:rsidR="000D02A4" w:rsidRDefault="00173C80">
      <w:pPr>
        <w:numPr>
          <w:ilvl w:val="0"/>
          <w:numId w:val="7"/>
        </w:numPr>
        <w:spacing w:after="20"/>
        <w:ind w:hanging="357"/>
        <w:rPr>
          <w:i/>
          <w:iCs/>
          <w:sz w:val="20"/>
          <w:szCs w:val="20"/>
          <w:lang w:val="sv-SE"/>
        </w:rPr>
      </w:pPr>
      <w:r>
        <w:rPr>
          <w:i/>
          <w:iCs/>
          <w:sz w:val="20"/>
          <w:szCs w:val="20"/>
        </w:rPr>
        <w:t>RRC-based:</w:t>
      </w:r>
    </w:p>
    <w:p w14:paraId="0F125ED8" w14:textId="77777777" w:rsidR="000D02A4" w:rsidRDefault="00173C80">
      <w:pPr>
        <w:numPr>
          <w:ilvl w:val="1"/>
          <w:numId w:val="7"/>
        </w:numPr>
        <w:spacing w:after="20"/>
        <w:ind w:hanging="357"/>
        <w:rPr>
          <w:i/>
          <w:iCs/>
          <w:sz w:val="20"/>
          <w:szCs w:val="20"/>
        </w:rPr>
      </w:pPr>
      <w:proofErr w:type="spellStart"/>
      <w:proofErr w:type="gramStart"/>
      <w:r>
        <w:rPr>
          <w:i/>
          <w:iCs/>
          <w:sz w:val="20"/>
          <w:szCs w:val="20"/>
        </w:rPr>
        <w:t>L</w:t>
      </w:r>
      <w:r>
        <w:rPr>
          <w:i/>
          <w:iCs/>
          <w:sz w:val="20"/>
          <w:szCs w:val="20"/>
          <w:vertAlign w:val="subscript"/>
        </w:rPr>
        <w:t>RRC,known</w:t>
      </w:r>
      <w:proofErr w:type="gramEnd"/>
      <w:r>
        <w:rPr>
          <w:i/>
          <w:iCs/>
          <w:sz w:val="20"/>
          <w:szCs w:val="20"/>
          <w:vertAlign w:val="subscript"/>
        </w:rPr>
        <w:t>,max</w:t>
      </w:r>
      <w:proofErr w:type="spellEnd"/>
      <w:r>
        <w:rPr>
          <w:i/>
          <w:iCs/>
          <w:sz w:val="20"/>
          <w:szCs w:val="20"/>
        </w:rPr>
        <w:t xml:space="preserve"> =[2] for T</w:t>
      </w:r>
      <w:r>
        <w:rPr>
          <w:i/>
          <w:iCs/>
          <w:sz w:val="20"/>
          <w:szCs w:val="20"/>
          <w:vertAlign w:val="subscript"/>
        </w:rPr>
        <w:t>SSB</w:t>
      </w:r>
      <w:r>
        <w:rPr>
          <w:i/>
          <w:iCs/>
          <w:sz w:val="20"/>
          <w:szCs w:val="20"/>
        </w:rPr>
        <w:t xml:space="preserve">≤40 </w:t>
      </w:r>
      <w:proofErr w:type="spellStart"/>
      <w:r>
        <w:rPr>
          <w:i/>
          <w:iCs/>
          <w:sz w:val="20"/>
          <w:szCs w:val="20"/>
        </w:rPr>
        <w:t>ms</w:t>
      </w:r>
      <w:proofErr w:type="spellEnd"/>
      <w:r>
        <w:rPr>
          <w:i/>
          <w:iCs/>
          <w:sz w:val="20"/>
          <w:szCs w:val="20"/>
        </w:rPr>
        <w:t xml:space="preserve">, </w:t>
      </w:r>
      <w:proofErr w:type="spellStart"/>
      <w:r>
        <w:rPr>
          <w:i/>
          <w:iCs/>
          <w:sz w:val="20"/>
          <w:szCs w:val="20"/>
        </w:rPr>
        <w:t>L</w:t>
      </w:r>
      <w:r>
        <w:rPr>
          <w:i/>
          <w:iCs/>
          <w:sz w:val="20"/>
          <w:szCs w:val="20"/>
          <w:vertAlign w:val="subscript"/>
        </w:rPr>
        <w:t>RRC,known,max</w:t>
      </w:r>
      <w:proofErr w:type="spellEnd"/>
      <w:r>
        <w:rPr>
          <w:i/>
          <w:iCs/>
          <w:sz w:val="20"/>
          <w:szCs w:val="20"/>
        </w:rPr>
        <w:t xml:space="preserve"> =[1] for T</w:t>
      </w:r>
      <w:r>
        <w:rPr>
          <w:i/>
          <w:iCs/>
          <w:sz w:val="20"/>
          <w:szCs w:val="20"/>
          <w:vertAlign w:val="subscript"/>
        </w:rPr>
        <w:t>SSB</w:t>
      </w:r>
      <w:r>
        <w:rPr>
          <w:i/>
          <w:iCs/>
          <w:sz w:val="20"/>
          <w:szCs w:val="20"/>
        </w:rPr>
        <w:t xml:space="preserve">&gt;40 </w:t>
      </w:r>
      <w:proofErr w:type="spellStart"/>
      <w:r>
        <w:rPr>
          <w:i/>
          <w:iCs/>
          <w:sz w:val="20"/>
          <w:szCs w:val="20"/>
        </w:rPr>
        <w:t>ms</w:t>
      </w:r>
      <w:proofErr w:type="spellEnd"/>
    </w:p>
    <w:p w14:paraId="4ECD3C4A" w14:textId="77777777" w:rsidR="000D02A4" w:rsidRDefault="00173C80">
      <w:pPr>
        <w:numPr>
          <w:ilvl w:val="2"/>
          <w:numId w:val="7"/>
        </w:numPr>
        <w:spacing w:after="20"/>
        <w:ind w:hanging="357"/>
        <w:rPr>
          <w:i/>
          <w:iCs/>
          <w:sz w:val="20"/>
          <w:szCs w:val="20"/>
        </w:rPr>
      </w:pPr>
      <w:r>
        <w:rPr>
          <w:i/>
          <w:iCs/>
          <w:sz w:val="20"/>
          <w:szCs w:val="20"/>
        </w:rPr>
        <w:t xml:space="preserve">Upon exceeding </w:t>
      </w:r>
      <w:proofErr w:type="spellStart"/>
      <w:proofErr w:type="gramStart"/>
      <w:r>
        <w:rPr>
          <w:i/>
          <w:iCs/>
          <w:sz w:val="20"/>
          <w:szCs w:val="20"/>
        </w:rPr>
        <w:t>L</w:t>
      </w:r>
      <w:r>
        <w:rPr>
          <w:i/>
          <w:iCs/>
          <w:sz w:val="20"/>
          <w:szCs w:val="20"/>
          <w:vertAlign w:val="subscript"/>
        </w:rPr>
        <w:t>RRC,known</w:t>
      </w:r>
      <w:proofErr w:type="gramEnd"/>
      <w:r>
        <w:rPr>
          <w:i/>
          <w:iCs/>
          <w:sz w:val="20"/>
          <w:szCs w:val="20"/>
          <w:vertAlign w:val="subscript"/>
        </w:rPr>
        <w:t>,max</w:t>
      </w:r>
      <w:proofErr w:type="spellEnd"/>
      <w:r>
        <w:rPr>
          <w:i/>
          <w:iCs/>
          <w:sz w:val="20"/>
          <w:szCs w:val="20"/>
        </w:rPr>
        <w:t xml:space="preserve"> the UE may stop the active TCI state switching procedure and FFS: declare beam failure</w:t>
      </w:r>
    </w:p>
    <w:p w14:paraId="328EC916" w14:textId="77777777" w:rsidR="000D02A4" w:rsidRDefault="00173C80">
      <w:pPr>
        <w:numPr>
          <w:ilvl w:val="0"/>
          <w:numId w:val="7"/>
        </w:numPr>
        <w:spacing w:after="20"/>
        <w:ind w:hanging="357"/>
        <w:rPr>
          <w:i/>
          <w:iCs/>
          <w:sz w:val="20"/>
          <w:szCs w:val="20"/>
          <w:lang w:val="sv-SE"/>
        </w:rPr>
      </w:pPr>
      <w:r>
        <w:rPr>
          <w:i/>
          <w:iCs/>
          <w:sz w:val="20"/>
          <w:szCs w:val="20"/>
        </w:rPr>
        <w:t>MAC-CE based:</w:t>
      </w:r>
    </w:p>
    <w:p w14:paraId="2AC5218B" w14:textId="77777777" w:rsidR="000D02A4" w:rsidRDefault="00173C80">
      <w:pPr>
        <w:numPr>
          <w:ilvl w:val="1"/>
          <w:numId w:val="7"/>
        </w:numPr>
        <w:spacing w:after="20"/>
        <w:ind w:hanging="357"/>
        <w:rPr>
          <w:i/>
          <w:iCs/>
          <w:sz w:val="20"/>
          <w:szCs w:val="20"/>
        </w:rPr>
      </w:pPr>
      <w:proofErr w:type="spellStart"/>
      <w:proofErr w:type="gramStart"/>
      <w:r>
        <w:rPr>
          <w:i/>
          <w:iCs/>
          <w:sz w:val="20"/>
          <w:szCs w:val="20"/>
        </w:rPr>
        <w:t>L</w:t>
      </w:r>
      <w:r>
        <w:rPr>
          <w:i/>
          <w:iCs/>
          <w:sz w:val="20"/>
          <w:szCs w:val="20"/>
          <w:vertAlign w:val="subscript"/>
        </w:rPr>
        <w:t>MAC,known</w:t>
      </w:r>
      <w:proofErr w:type="gramEnd"/>
      <w:r>
        <w:rPr>
          <w:i/>
          <w:iCs/>
          <w:sz w:val="20"/>
          <w:szCs w:val="20"/>
          <w:vertAlign w:val="subscript"/>
        </w:rPr>
        <w:t>,max</w:t>
      </w:r>
      <w:proofErr w:type="spellEnd"/>
      <w:r>
        <w:rPr>
          <w:i/>
          <w:iCs/>
          <w:sz w:val="20"/>
          <w:szCs w:val="20"/>
        </w:rPr>
        <w:t xml:space="preserve"> =[2] for T</w:t>
      </w:r>
      <w:r>
        <w:rPr>
          <w:i/>
          <w:iCs/>
          <w:sz w:val="20"/>
          <w:szCs w:val="20"/>
          <w:vertAlign w:val="subscript"/>
        </w:rPr>
        <w:t>SSB</w:t>
      </w:r>
      <w:r>
        <w:rPr>
          <w:i/>
          <w:iCs/>
          <w:sz w:val="20"/>
          <w:szCs w:val="20"/>
        </w:rPr>
        <w:t xml:space="preserve">≤40 </w:t>
      </w:r>
      <w:proofErr w:type="spellStart"/>
      <w:r>
        <w:rPr>
          <w:i/>
          <w:iCs/>
          <w:sz w:val="20"/>
          <w:szCs w:val="20"/>
        </w:rPr>
        <w:t>ms</w:t>
      </w:r>
      <w:proofErr w:type="spellEnd"/>
      <w:r>
        <w:rPr>
          <w:i/>
          <w:iCs/>
          <w:sz w:val="20"/>
          <w:szCs w:val="20"/>
        </w:rPr>
        <w:t xml:space="preserve">, </w:t>
      </w:r>
      <w:proofErr w:type="spellStart"/>
      <w:r>
        <w:rPr>
          <w:i/>
          <w:iCs/>
          <w:sz w:val="20"/>
          <w:szCs w:val="20"/>
        </w:rPr>
        <w:t>L</w:t>
      </w:r>
      <w:r>
        <w:rPr>
          <w:i/>
          <w:iCs/>
          <w:sz w:val="20"/>
          <w:szCs w:val="20"/>
          <w:vertAlign w:val="subscript"/>
        </w:rPr>
        <w:t>MAC,known,max</w:t>
      </w:r>
      <w:proofErr w:type="spellEnd"/>
      <w:r>
        <w:rPr>
          <w:i/>
          <w:iCs/>
          <w:sz w:val="20"/>
          <w:szCs w:val="20"/>
        </w:rPr>
        <w:t xml:space="preserve"> =[1] for T</w:t>
      </w:r>
      <w:r>
        <w:rPr>
          <w:i/>
          <w:iCs/>
          <w:sz w:val="20"/>
          <w:szCs w:val="20"/>
          <w:vertAlign w:val="subscript"/>
        </w:rPr>
        <w:t>SSB</w:t>
      </w:r>
      <w:r>
        <w:rPr>
          <w:i/>
          <w:iCs/>
          <w:sz w:val="20"/>
          <w:szCs w:val="20"/>
        </w:rPr>
        <w:t xml:space="preserve">&gt;40 </w:t>
      </w:r>
      <w:proofErr w:type="spellStart"/>
      <w:r>
        <w:rPr>
          <w:i/>
          <w:iCs/>
          <w:sz w:val="20"/>
          <w:szCs w:val="20"/>
        </w:rPr>
        <w:t>ms</w:t>
      </w:r>
      <w:proofErr w:type="spellEnd"/>
    </w:p>
    <w:p w14:paraId="67A48F16" w14:textId="77777777" w:rsidR="000D02A4" w:rsidRDefault="00173C80">
      <w:pPr>
        <w:numPr>
          <w:ilvl w:val="2"/>
          <w:numId w:val="7"/>
        </w:numPr>
        <w:spacing w:after="20"/>
        <w:ind w:hanging="357"/>
        <w:rPr>
          <w:i/>
          <w:iCs/>
          <w:sz w:val="20"/>
          <w:szCs w:val="20"/>
        </w:rPr>
      </w:pPr>
      <w:r>
        <w:rPr>
          <w:i/>
          <w:iCs/>
          <w:sz w:val="20"/>
          <w:szCs w:val="20"/>
        </w:rPr>
        <w:t xml:space="preserve">Upon exceeding </w:t>
      </w:r>
      <w:proofErr w:type="spellStart"/>
      <w:proofErr w:type="gramStart"/>
      <w:r>
        <w:rPr>
          <w:i/>
          <w:iCs/>
          <w:sz w:val="20"/>
          <w:szCs w:val="20"/>
        </w:rPr>
        <w:t>L</w:t>
      </w:r>
      <w:r>
        <w:rPr>
          <w:i/>
          <w:iCs/>
          <w:sz w:val="20"/>
          <w:szCs w:val="20"/>
          <w:vertAlign w:val="subscript"/>
        </w:rPr>
        <w:t>MAC,known</w:t>
      </w:r>
      <w:proofErr w:type="gramEnd"/>
      <w:r>
        <w:rPr>
          <w:i/>
          <w:iCs/>
          <w:sz w:val="20"/>
          <w:szCs w:val="20"/>
          <w:vertAlign w:val="subscript"/>
        </w:rPr>
        <w:t>,max</w:t>
      </w:r>
      <w:proofErr w:type="spellEnd"/>
      <w:r>
        <w:rPr>
          <w:i/>
          <w:iCs/>
          <w:sz w:val="20"/>
          <w:szCs w:val="20"/>
        </w:rPr>
        <w:t xml:space="preserve"> the UE may stop the active TCI state switching procedure and FFS: stay in the old state</w:t>
      </w:r>
    </w:p>
    <w:p w14:paraId="2F1224AC" w14:textId="77777777" w:rsidR="000D02A4" w:rsidRDefault="00173C80">
      <w:pPr>
        <w:pStyle w:val="NormalWeb"/>
        <w:spacing w:before="75" w:beforeAutospacing="0" w:after="195" w:afterAutospacing="0" w:line="315" w:lineRule="atLeast"/>
        <w:jc w:val="both"/>
        <w:rPr>
          <w:rFonts w:eastAsia="SimSun" w:cs="Arial"/>
          <w:color w:val="000000"/>
          <w:sz w:val="20"/>
          <w:szCs w:val="20"/>
          <w:lang w:val="en-US" w:eastAsia="zh-CN"/>
        </w:rPr>
      </w:pPr>
      <w:r>
        <w:rPr>
          <w:rFonts w:eastAsia="SimSun" w:cs="Arial" w:hint="eastAsia"/>
          <w:color w:val="000000"/>
          <w:sz w:val="20"/>
          <w:szCs w:val="20"/>
          <w:lang w:val="en-US" w:eastAsia="zh-CN"/>
        </w:rPr>
        <w:t>Based on the different period of SSB/CSI-RS, the different maximum values of LBT failure are defined. Once LBT failure number for SSB/CSI-RS associated with target TCI state exceeds the defined maximum value, the UE informs the lower layer to stop the active TCI state switching procedure. It may be used for RRC based and MAC CE based TCI state switching in known and unknown states.</w:t>
      </w:r>
    </w:p>
    <w:p w14:paraId="6615A09E" w14:textId="77777777" w:rsidR="000D02A4" w:rsidRDefault="00173C80">
      <w:pPr>
        <w:rPr>
          <w:rFonts w:cs="Arial"/>
          <w:color w:val="000000"/>
          <w:sz w:val="20"/>
          <w:szCs w:val="20"/>
        </w:rPr>
      </w:pPr>
      <w:r>
        <w:rPr>
          <w:rFonts w:hint="eastAsia"/>
          <w:b/>
          <w:bCs/>
          <w:sz w:val="20"/>
          <w:szCs w:val="20"/>
          <w:lang w:val="en-US" w:eastAsia="zh-CN"/>
        </w:rPr>
        <w:t>Proposal 1: When LBT failure number exceeds the maximum value defined by RAN4, the MAC layer informs lower layer to stop the active TCI state switching procedure.</w:t>
      </w:r>
    </w:p>
    <w:p w14:paraId="66BFA7D6" w14:textId="77777777" w:rsidR="000D02A4" w:rsidRDefault="00173C80">
      <w:pPr>
        <w:pStyle w:val="NormalWeb"/>
        <w:spacing w:before="75" w:beforeAutospacing="0" w:after="195" w:afterAutospacing="0" w:line="315" w:lineRule="atLeast"/>
        <w:jc w:val="both"/>
        <w:rPr>
          <w:rFonts w:eastAsia="SimSun" w:cs="Arial"/>
          <w:color w:val="000000"/>
          <w:sz w:val="20"/>
          <w:szCs w:val="20"/>
          <w:lang w:val="en-US" w:eastAsia="zh-CN"/>
        </w:rPr>
      </w:pPr>
      <w:r>
        <w:rPr>
          <w:rFonts w:eastAsia="SimSun" w:cs="Arial" w:hint="eastAsia"/>
          <w:color w:val="000000"/>
          <w:sz w:val="20"/>
          <w:szCs w:val="20"/>
          <w:lang w:val="en-US" w:eastAsia="zh-CN"/>
        </w:rPr>
        <w:t xml:space="preserve">For MAC CE based TCI state switching procedure, when LBT failure number reaches the maximum value, the UE may stop the active TCI state switching. It means that the target TCI state is not available. The UE may use the old TCI state. While for RRC based TCI state switching, since the old TCI state has been deleted, the UE is not able to go back to the old TCI state. In this case, RAN4 asks whether the UE shall declare beam failure.  </w:t>
      </w:r>
    </w:p>
    <w:p w14:paraId="61969FCC" w14:textId="3CA6280A" w:rsidR="000D02A4" w:rsidRDefault="00173C80">
      <w:pPr>
        <w:pStyle w:val="NormalWeb"/>
        <w:spacing w:before="75" w:beforeAutospacing="0" w:after="195" w:afterAutospacing="0" w:line="315" w:lineRule="atLeast"/>
        <w:jc w:val="both"/>
        <w:rPr>
          <w:rFonts w:eastAsia="SimSun" w:cs="Arial"/>
          <w:color w:val="000000"/>
          <w:sz w:val="20"/>
          <w:szCs w:val="20"/>
          <w:lang w:val="en-US" w:eastAsia="zh-CN"/>
        </w:rPr>
      </w:pPr>
      <w:r>
        <w:rPr>
          <w:rFonts w:eastAsia="SimSun" w:cs="Arial" w:hint="eastAsia"/>
          <w:color w:val="000000"/>
          <w:sz w:val="20"/>
          <w:szCs w:val="20"/>
          <w:lang w:val="en-US" w:eastAsia="zh-CN"/>
        </w:rPr>
        <w:t xml:space="preserve">If beam failure is declared, for </w:t>
      </w:r>
      <w:proofErr w:type="spellStart"/>
      <w:r>
        <w:rPr>
          <w:rFonts w:eastAsia="SimSun" w:cs="Arial" w:hint="eastAsia"/>
          <w:color w:val="000000"/>
          <w:sz w:val="20"/>
          <w:szCs w:val="20"/>
          <w:lang w:val="en-US" w:eastAsia="zh-CN"/>
        </w:rPr>
        <w:t>SpCell</w:t>
      </w:r>
      <w:proofErr w:type="spellEnd"/>
      <w:r>
        <w:rPr>
          <w:rFonts w:eastAsia="SimSun" w:cs="Arial" w:hint="eastAsia"/>
          <w:color w:val="000000"/>
          <w:sz w:val="20"/>
          <w:szCs w:val="20"/>
          <w:lang w:val="en-US" w:eastAsia="zh-CN"/>
        </w:rPr>
        <w:t xml:space="preserve">, the UE will initiate a </w:t>
      </w:r>
      <w:proofErr w:type="gramStart"/>
      <w:r>
        <w:rPr>
          <w:rFonts w:eastAsia="SimSun" w:cs="Arial" w:hint="eastAsia"/>
          <w:color w:val="000000"/>
          <w:sz w:val="20"/>
          <w:szCs w:val="20"/>
          <w:lang w:val="en-US" w:eastAsia="zh-CN"/>
        </w:rPr>
        <w:t>random access</w:t>
      </w:r>
      <w:proofErr w:type="gramEnd"/>
      <w:r>
        <w:rPr>
          <w:rFonts w:eastAsia="SimSun" w:cs="Arial" w:hint="eastAsia"/>
          <w:color w:val="000000"/>
          <w:sz w:val="20"/>
          <w:szCs w:val="20"/>
          <w:lang w:val="en-US" w:eastAsia="zh-CN"/>
        </w:rPr>
        <w:t xml:space="preserve"> procedure. Via RACH, the Network may know TCI state switching procedure failure. Then it may indicate the UE to switch to a new TCI st</w:t>
      </w:r>
      <w:r w:rsidR="00E362F5">
        <w:rPr>
          <w:rFonts w:eastAsia="SimSun" w:cs="Arial"/>
          <w:color w:val="000000"/>
          <w:sz w:val="20"/>
          <w:szCs w:val="20"/>
          <w:lang w:val="en-US" w:eastAsia="zh-CN"/>
        </w:rPr>
        <w:t>at</w:t>
      </w:r>
      <w:r>
        <w:rPr>
          <w:rFonts w:eastAsia="SimSun" w:cs="Arial" w:hint="eastAsia"/>
          <w:color w:val="000000"/>
          <w:sz w:val="20"/>
          <w:szCs w:val="20"/>
          <w:lang w:val="en-US" w:eastAsia="zh-CN"/>
        </w:rPr>
        <w:t xml:space="preserve">e or </w:t>
      </w:r>
      <w:r w:rsidR="00B97E5C">
        <w:rPr>
          <w:rFonts w:eastAsia="SimSun" w:cs="Arial"/>
          <w:color w:val="000000"/>
          <w:sz w:val="20"/>
          <w:szCs w:val="20"/>
          <w:lang w:val="en-US" w:eastAsia="zh-CN"/>
        </w:rPr>
        <w:t>an</w:t>
      </w:r>
      <w:r>
        <w:rPr>
          <w:rFonts w:eastAsia="SimSun" w:cs="Arial" w:hint="eastAsia"/>
          <w:color w:val="000000"/>
          <w:sz w:val="20"/>
          <w:szCs w:val="20"/>
          <w:lang w:val="en-US" w:eastAsia="zh-CN"/>
        </w:rPr>
        <w:t xml:space="preserve">other BWP </w:t>
      </w:r>
      <w:r w:rsidR="00B97E5C">
        <w:rPr>
          <w:rFonts w:eastAsia="SimSun" w:cs="Arial"/>
          <w:color w:val="000000"/>
          <w:sz w:val="20"/>
          <w:szCs w:val="20"/>
          <w:lang w:val="en-US" w:eastAsia="zh-CN"/>
        </w:rPr>
        <w:t>with lower LBT failure probability may be selected by the UE during the RACH procedure</w:t>
      </w:r>
      <w:r>
        <w:rPr>
          <w:rFonts w:eastAsia="SimSun" w:cs="Arial" w:hint="eastAsia"/>
          <w:color w:val="000000"/>
          <w:sz w:val="20"/>
          <w:szCs w:val="20"/>
          <w:lang w:val="en-US" w:eastAsia="zh-CN"/>
        </w:rPr>
        <w:t xml:space="preserve">. </w:t>
      </w:r>
      <w:r w:rsidR="00B97E5C">
        <w:rPr>
          <w:rFonts w:eastAsia="SimSun" w:cs="Arial"/>
          <w:color w:val="000000"/>
          <w:sz w:val="20"/>
          <w:szCs w:val="20"/>
          <w:lang w:val="en-US" w:eastAsia="zh-CN"/>
        </w:rPr>
        <w:t>The network</w:t>
      </w:r>
      <w:r w:rsidR="00B97E5C">
        <w:rPr>
          <w:rFonts w:eastAsia="SimSun" w:cs="Arial" w:hint="eastAsia"/>
          <w:color w:val="000000"/>
          <w:sz w:val="20"/>
          <w:szCs w:val="20"/>
          <w:lang w:val="en-US" w:eastAsia="zh-CN"/>
        </w:rPr>
        <w:t xml:space="preserve"> </w:t>
      </w:r>
      <w:r>
        <w:rPr>
          <w:rFonts w:eastAsia="SimSun" w:cs="Arial" w:hint="eastAsia"/>
          <w:color w:val="000000"/>
          <w:sz w:val="20"/>
          <w:szCs w:val="20"/>
          <w:lang w:val="en-US" w:eastAsia="zh-CN"/>
        </w:rPr>
        <w:t>may also perform handover</w:t>
      </w:r>
      <w:r w:rsidR="00B97E5C">
        <w:rPr>
          <w:rFonts w:eastAsia="SimSun" w:cs="Arial"/>
          <w:color w:val="000000"/>
          <w:sz w:val="20"/>
          <w:szCs w:val="20"/>
          <w:lang w:val="en-US" w:eastAsia="zh-CN"/>
        </w:rPr>
        <w:t xml:space="preserve"> to another cell</w:t>
      </w:r>
      <w:r>
        <w:rPr>
          <w:rFonts w:eastAsia="SimSun" w:cs="Arial" w:hint="eastAsia"/>
          <w:color w:val="000000"/>
          <w:sz w:val="20"/>
          <w:szCs w:val="20"/>
          <w:lang w:val="en-US" w:eastAsia="zh-CN"/>
        </w:rPr>
        <w:t xml:space="preserve">. For </w:t>
      </w:r>
      <w:proofErr w:type="spellStart"/>
      <w:r>
        <w:rPr>
          <w:rFonts w:eastAsia="SimSun" w:cs="Arial" w:hint="eastAsia"/>
          <w:color w:val="000000"/>
          <w:sz w:val="20"/>
          <w:szCs w:val="20"/>
          <w:lang w:val="en-US" w:eastAsia="zh-CN"/>
        </w:rPr>
        <w:t>SCell</w:t>
      </w:r>
      <w:proofErr w:type="spellEnd"/>
      <w:r>
        <w:rPr>
          <w:rFonts w:eastAsia="SimSun" w:cs="Arial" w:hint="eastAsia"/>
          <w:color w:val="000000"/>
          <w:sz w:val="20"/>
          <w:szCs w:val="20"/>
          <w:lang w:val="en-US" w:eastAsia="zh-CN"/>
        </w:rPr>
        <w:t xml:space="preserve">, the UE may transmit </w:t>
      </w:r>
      <w:proofErr w:type="spellStart"/>
      <w:r>
        <w:rPr>
          <w:rFonts w:eastAsia="SimSun" w:cs="Arial" w:hint="eastAsia"/>
          <w:color w:val="000000"/>
          <w:sz w:val="20"/>
          <w:szCs w:val="20"/>
          <w:lang w:val="en-US" w:eastAsia="zh-CN"/>
        </w:rPr>
        <w:t>SCell</w:t>
      </w:r>
      <w:proofErr w:type="spellEnd"/>
      <w:r>
        <w:rPr>
          <w:rFonts w:eastAsia="SimSun" w:cs="Arial" w:hint="eastAsia"/>
          <w:color w:val="000000"/>
          <w:sz w:val="20"/>
          <w:szCs w:val="20"/>
          <w:lang w:val="en-US" w:eastAsia="zh-CN"/>
        </w:rPr>
        <w:t xml:space="preserve"> BFR MAC CE to the NW. Then the NW may indicate the UE to switch to a new TCI state. It may also inform the UE to deactivate/delete this </w:t>
      </w:r>
      <w:proofErr w:type="spellStart"/>
      <w:r>
        <w:rPr>
          <w:rFonts w:eastAsia="SimSun" w:cs="Arial" w:hint="eastAsia"/>
          <w:color w:val="000000"/>
          <w:sz w:val="20"/>
          <w:szCs w:val="20"/>
          <w:lang w:val="en-US" w:eastAsia="zh-CN"/>
        </w:rPr>
        <w:t>SCell</w:t>
      </w:r>
      <w:proofErr w:type="spellEnd"/>
      <w:r>
        <w:rPr>
          <w:rFonts w:eastAsia="SimSun" w:cs="Arial" w:hint="eastAsia"/>
          <w:color w:val="000000"/>
          <w:sz w:val="20"/>
          <w:szCs w:val="20"/>
          <w:lang w:val="en-US" w:eastAsia="zh-CN"/>
        </w:rPr>
        <w:t>. Hence</w:t>
      </w:r>
      <w:r w:rsidR="00B97E5C">
        <w:rPr>
          <w:rFonts w:eastAsia="SimSun" w:cs="Arial"/>
          <w:color w:val="000000"/>
          <w:sz w:val="20"/>
          <w:szCs w:val="20"/>
          <w:lang w:val="en-US" w:eastAsia="zh-CN"/>
        </w:rPr>
        <w:t>,</w:t>
      </w:r>
      <w:r>
        <w:rPr>
          <w:rFonts w:eastAsia="SimSun" w:cs="Arial" w:hint="eastAsia"/>
          <w:color w:val="000000"/>
          <w:sz w:val="20"/>
          <w:szCs w:val="20"/>
          <w:lang w:val="en-US" w:eastAsia="zh-CN"/>
        </w:rPr>
        <w:t xml:space="preserve"> we think it is beneficial to declare beam failure,</w:t>
      </w:r>
      <w:r w:rsidR="00B97E5C">
        <w:rPr>
          <w:rFonts w:eastAsia="SimSun" w:cs="Arial"/>
          <w:color w:val="000000"/>
          <w:sz w:val="20"/>
          <w:szCs w:val="20"/>
          <w:lang w:val="en-US" w:eastAsia="zh-CN"/>
        </w:rPr>
        <w:t xml:space="preserve"> so that</w:t>
      </w:r>
      <w:r>
        <w:rPr>
          <w:rFonts w:eastAsia="SimSun" w:cs="Arial" w:hint="eastAsia"/>
          <w:color w:val="000000"/>
          <w:sz w:val="20"/>
          <w:szCs w:val="20"/>
          <w:lang w:val="en-US" w:eastAsia="zh-CN"/>
        </w:rPr>
        <w:t xml:space="preserve"> at least the NW may know the state of UE.</w:t>
      </w:r>
    </w:p>
    <w:p w14:paraId="6A7D33E4" w14:textId="77777777" w:rsidR="000D02A4" w:rsidRDefault="00173C80">
      <w:pPr>
        <w:rPr>
          <w:b/>
          <w:bCs/>
          <w:sz w:val="20"/>
          <w:szCs w:val="20"/>
          <w:lang w:val="en-US" w:eastAsia="zh-CN"/>
        </w:rPr>
      </w:pPr>
      <w:r>
        <w:rPr>
          <w:rFonts w:hint="eastAsia"/>
          <w:b/>
          <w:bCs/>
          <w:sz w:val="20"/>
          <w:szCs w:val="20"/>
          <w:lang w:val="en-US" w:eastAsia="zh-CN"/>
        </w:rPr>
        <w:lastRenderedPageBreak/>
        <w:t>Proposal 2: When LBT failure number exceeds the maximum value defined by RAN4, beam failure may be declared for RRC based TCI state switching procedure.</w:t>
      </w:r>
    </w:p>
    <w:p w14:paraId="603CA969" w14:textId="79573F2A" w:rsidR="000D02A4" w:rsidRDefault="00173C80">
      <w:pPr>
        <w:pStyle w:val="NormalWeb"/>
        <w:spacing w:before="75" w:beforeAutospacing="0" w:after="195" w:afterAutospacing="0" w:line="315" w:lineRule="atLeast"/>
        <w:jc w:val="both"/>
        <w:rPr>
          <w:rFonts w:eastAsia="SimSun" w:cs="Arial"/>
          <w:color w:val="000000"/>
          <w:sz w:val="20"/>
          <w:szCs w:val="20"/>
          <w:lang w:val="en-US" w:eastAsia="zh-CN"/>
        </w:rPr>
      </w:pPr>
      <w:r>
        <w:rPr>
          <w:rFonts w:eastAsia="SimSun" w:cs="Arial" w:hint="eastAsia"/>
          <w:color w:val="000000"/>
          <w:sz w:val="20"/>
          <w:szCs w:val="20"/>
          <w:lang w:val="en-US" w:eastAsia="zh-CN"/>
        </w:rPr>
        <w:t>On the other hand, beam failure recovery procedure is used to inform the NW a good beam with RSRP above a threshold among SSBs/CSI-RSs in the candidate beam list. Nevertheless, since the TCI state switching failure is caused by heavy load on the current carrier</w:t>
      </w:r>
      <w:r w:rsidR="00B97E5C">
        <w:rPr>
          <w:rFonts w:eastAsia="SimSun" w:cs="Arial"/>
          <w:color w:val="000000"/>
          <w:sz w:val="20"/>
          <w:szCs w:val="20"/>
          <w:lang w:val="en-US" w:eastAsia="zh-CN"/>
        </w:rPr>
        <w:t xml:space="preserve"> (i.e. consistent LBT failures)</w:t>
      </w:r>
      <w:r>
        <w:rPr>
          <w:rFonts w:eastAsia="SimSun" w:cs="Arial" w:hint="eastAsia"/>
          <w:color w:val="000000"/>
          <w:sz w:val="20"/>
          <w:szCs w:val="20"/>
          <w:lang w:val="en-US" w:eastAsia="zh-CN"/>
        </w:rPr>
        <w:t xml:space="preserve">, TCI state switching </w:t>
      </w:r>
      <w:r w:rsidR="00E362F5">
        <w:rPr>
          <w:rFonts w:eastAsia="SimSun" w:cs="Arial"/>
          <w:color w:val="000000"/>
          <w:sz w:val="20"/>
          <w:szCs w:val="20"/>
          <w:lang w:val="en-US" w:eastAsia="zh-CN"/>
        </w:rPr>
        <w:t xml:space="preserve">alone </w:t>
      </w:r>
      <w:r>
        <w:rPr>
          <w:rFonts w:eastAsia="SimSun" w:cs="Arial" w:hint="eastAsia"/>
          <w:color w:val="000000"/>
          <w:sz w:val="20"/>
          <w:szCs w:val="20"/>
          <w:lang w:val="en-US" w:eastAsia="zh-CN"/>
        </w:rPr>
        <w:t xml:space="preserve">cannot solve the heavy-load problem. Hence, we may also consider some other methods. For example, a simple way is to trigger RLF or conditional handover. Once LBT failure number exceeds the maximum value, the UE may indicate DL LBT failure to </w:t>
      </w:r>
      <w:r w:rsidR="00544FF9">
        <w:rPr>
          <w:rFonts w:eastAsia="SimSun" w:cs="Arial"/>
          <w:color w:val="000000"/>
          <w:sz w:val="20"/>
          <w:szCs w:val="20"/>
          <w:lang w:val="en-US" w:eastAsia="zh-CN"/>
        </w:rPr>
        <w:t xml:space="preserve">the </w:t>
      </w:r>
      <w:r>
        <w:rPr>
          <w:rFonts w:eastAsia="SimSun" w:cs="Arial" w:hint="eastAsia"/>
          <w:color w:val="000000"/>
          <w:sz w:val="20"/>
          <w:szCs w:val="20"/>
          <w:lang w:val="en-US" w:eastAsia="zh-CN"/>
        </w:rPr>
        <w:t xml:space="preserve">upper layer. Upon receiving the indication, the RRC layer may </w:t>
      </w:r>
      <w:r w:rsidR="00E362F5">
        <w:rPr>
          <w:rFonts w:eastAsia="SimSun" w:cs="Arial"/>
          <w:color w:val="000000"/>
          <w:sz w:val="20"/>
          <w:szCs w:val="20"/>
          <w:lang w:val="en-US" w:eastAsia="zh-CN"/>
        </w:rPr>
        <w:t>initiate</w:t>
      </w:r>
      <w:r>
        <w:rPr>
          <w:rFonts w:eastAsia="SimSun" w:cs="Arial" w:hint="eastAsia"/>
          <w:color w:val="000000"/>
          <w:sz w:val="20"/>
          <w:szCs w:val="20"/>
          <w:lang w:val="en-US" w:eastAsia="zh-CN"/>
        </w:rPr>
        <w:t xml:space="preserve"> RLF or select a cell </w:t>
      </w:r>
      <w:r w:rsidR="00544FF9">
        <w:rPr>
          <w:rFonts w:eastAsia="SimSun" w:cs="Arial"/>
          <w:color w:val="000000"/>
          <w:sz w:val="20"/>
          <w:szCs w:val="20"/>
          <w:lang w:val="en-US" w:eastAsia="zh-CN"/>
        </w:rPr>
        <w:t xml:space="preserve">from the candidate cell list </w:t>
      </w:r>
      <w:r>
        <w:rPr>
          <w:rFonts w:eastAsia="SimSun" w:cs="Arial" w:hint="eastAsia"/>
          <w:color w:val="000000"/>
          <w:sz w:val="20"/>
          <w:szCs w:val="20"/>
          <w:lang w:val="en-US" w:eastAsia="zh-CN"/>
        </w:rPr>
        <w:t>to perform handover</w:t>
      </w:r>
      <w:r w:rsidR="00544FF9">
        <w:rPr>
          <w:rFonts w:eastAsia="SimSun" w:cs="Arial"/>
          <w:color w:val="000000"/>
          <w:sz w:val="20"/>
          <w:szCs w:val="20"/>
          <w:lang w:val="en-US" w:eastAsia="zh-CN"/>
        </w:rPr>
        <w:t xml:space="preserve"> </w:t>
      </w:r>
      <w:r w:rsidR="00E362F5">
        <w:rPr>
          <w:rFonts w:eastAsia="SimSun" w:cs="Arial"/>
          <w:color w:val="000000"/>
          <w:sz w:val="20"/>
          <w:szCs w:val="20"/>
          <w:lang w:val="en-US" w:eastAsia="zh-CN"/>
        </w:rPr>
        <w:t>(if CHO is configured)</w:t>
      </w:r>
      <w:r>
        <w:rPr>
          <w:rFonts w:eastAsia="SimSun" w:cs="Arial" w:hint="eastAsia"/>
          <w:color w:val="000000"/>
          <w:sz w:val="20"/>
          <w:szCs w:val="20"/>
          <w:lang w:val="en-US" w:eastAsia="zh-CN"/>
        </w:rPr>
        <w:t xml:space="preserve">. It could be used not only for RRC based TCI state switching, but also for MAC CE based TCI state switching because </w:t>
      </w:r>
      <w:r w:rsidR="00544FF9">
        <w:rPr>
          <w:rFonts w:eastAsia="SimSun" w:cs="Arial"/>
          <w:color w:val="000000"/>
          <w:sz w:val="20"/>
          <w:szCs w:val="20"/>
          <w:lang w:val="en-US" w:eastAsia="zh-CN"/>
        </w:rPr>
        <w:t xml:space="preserve">the </w:t>
      </w:r>
      <w:r>
        <w:rPr>
          <w:rFonts w:eastAsia="SimSun" w:cs="Arial" w:hint="eastAsia"/>
          <w:color w:val="000000"/>
          <w:sz w:val="20"/>
          <w:szCs w:val="20"/>
          <w:lang w:val="en-US" w:eastAsia="zh-CN"/>
        </w:rPr>
        <w:t>old TCI state is also impacted by DL LBT failure.</w:t>
      </w:r>
    </w:p>
    <w:p w14:paraId="123C1D74" w14:textId="39E4305F" w:rsidR="000D02A4" w:rsidRDefault="00173C80">
      <w:pPr>
        <w:rPr>
          <w:rFonts w:cs="Arial"/>
          <w:b/>
          <w:bCs/>
          <w:color w:val="000000"/>
          <w:sz w:val="20"/>
          <w:szCs w:val="20"/>
        </w:rPr>
      </w:pPr>
      <w:r>
        <w:rPr>
          <w:rFonts w:hint="eastAsia"/>
          <w:b/>
          <w:bCs/>
          <w:sz w:val="20"/>
          <w:szCs w:val="20"/>
          <w:lang w:val="en-US" w:eastAsia="zh-CN"/>
        </w:rPr>
        <w:t xml:space="preserve">Proposal 3: </w:t>
      </w:r>
      <w:r w:rsidR="00B97E5C">
        <w:rPr>
          <w:b/>
          <w:bCs/>
          <w:sz w:val="20"/>
          <w:szCs w:val="20"/>
          <w:lang w:val="en-US" w:eastAsia="zh-CN"/>
        </w:rPr>
        <w:t xml:space="preserve">In addition to declaring BFR, </w:t>
      </w:r>
      <w:r>
        <w:rPr>
          <w:rFonts w:hint="eastAsia"/>
          <w:b/>
          <w:bCs/>
          <w:sz w:val="20"/>
          <w:szCs w:val="20"/>
          <w:lang w:val="en-US" w:eastAsia="zh-CN"/>
        </w:rPr>
        <w:t xml:space="preserve">RAN2 may </w:t>
      </w:r>
      <w:r w:rsidR="00B97E5C">
        <w:rPr>
          <w:b/>
          <w:bCs/>
          <w:sz w:val="20"/>
          <w:szCs w:val="20"/>
          <w:lang w:val="en-US" w:eastAsia="zh-CN"/>
        </w:rPr>
        <w:t>also</w:t>
      </w:r>
      <w:r w:rsidR="00B97E5C">
        <w:rPr>
          <w:rFonts w:hint="eastAsia"/>
          <w:b/>
          <w:bCs/>
          <w:sz w:val="20"/>
          <w:szCs w:val="20"/>
          <w:lang w:val="en-US" w:eastAsia="zh-CN"/>
        </w:rPr>
        <w:t xml:space="preserve"> </w:t>
      </w:r>
      <w:r>
        <w:rPr>
          <w:rFonts w:hint="eastAsia"/>
          <w:b/>
          <w:bCs/>
          <w:sz w:val="20"/>
          <w:szCs w:val="20"/>
          <w:lang w:val="en-US" w:eastAsia="zh-CN"/>
        </w:rPr>
        <w:t xml:space="preserve">consider </w:t>
      </w:r>
      <w:r w:rsidR="00B97E5C">
        <w:rPr>
          <w:b/>
          <w:bCs/>
          <w:sz w:val="20"/>
          <w:szCs w:val="20"/>
          <w:lang w:val="en-US" w:eastAsia="zh-CN"/>
        </w:rPr>
        <w:t>a DL LBT failure indication from MAC to RRC which can further trigger RLF</w:t>
      </w:r>
      <w:r>
        <w:rPr>
          <w:rFonts w:hint="eastAsia"/>
          <w:b/>
          <w:bCs/>
          <w:sz w:val="20"/>
          <w:szCs w:val="20"/>
          <w:lang w:val="en-US" w:eastAsia="zh-CN"/>
        </w:rPr>
        <w:t>.</w:t>
      </w:r>
    </w:p>
    <w:p w14:paraId="2742ABBB" w14:textId="77777777" w:rsidR="000D02A4" w:rsidRDefault="00173C8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14:paraId="43C2EE70" w14:textId="77777777" w:rsidR="000D02A4" w:rsidRDefault="00173C80">
      <w:pPr>
        <w:pStyle w:val="NormalWeb"/>
        <w:spacing w:before="75" w:beforeAutospacing="0" w:after="75" w:afterAutospacing="0" w:line="315" w:lineRule="atLeast"/>
        <w:rPr>
          <w:rFonts w:cs="Arial"/>
          <w:b/>
          <w:bCs/>
          <w:color w:val="000000"/>
          <w:sz w:val="21"/>
        </w:rPr>
      </w:pPr>
      <w:r>
        <w:rPr>
          <w:sz w:val="21"/>
        </w:rPr>
        <w:t xml:space="preserve">This paper discussed the </w:t>
      </w:r>
      <w:r>
        <w:rPr>
          <w:rFonts w:eastAsia="SimSun" w:hint="eastAsia"/>
          <w:sz w:val="21"/>
          <w:lang w:val="en-US" w:eastAsia="zh-CN"/>
        </w:rPr>
        <w:t xml:space="preserve">statistics of DL LBT failure and the behavior of TCI state switching failure </w:t>
      </w:r>
      <w:r>
        <w:rPr>
          <w:sz w:val="21"/>
        </w:rPr>
        <w:t xml:space="preserve">and we make the following observations and proposals: </w:t>
      </w:r>
    </w:p>
    <w:p w14:paraId="28421FCC" w14:textId="77777777" w:rsidR="000D02A4" w:rsidRDefault="00173C80">
      <w:pPr>
        <w:rPr>
          <w:rFonts w:cs="Arial"/>
          <w:color w:val="000000"/>
          <w:sz w:val="20"/>
          <w:szCs w:val="20"/>
        </w:rPr>
      </w:pPr>
      <w:r>
        <w:rPr>
          <w:rFonts w:hint="eastAsia"/>
          <w:b/>
          <w:bCs/>
          <w:sz w:val="20"/>
          <w:szCs w:val="20"/>
          <w:lang w:val="en-US" w:eastAsia="zh-CN"/>
        </w:rPr>
        <w:t>Proposal 1: When LBT failure number exceeds the maximum value defined by RAN4, the MAC layer informs lower layer to stop the active TCI state switching procedure.</w:t>
      </w:r>
    </w:p>
    <w:p w14:paraId="0BCA982C" w14:textId="77777777" w:rsidR="000D02A4" w:rsidRDefault="00173C80">
      <w:pPr>
        <w:rPr>
          <w:b/>
          <w:bCs/>
          <w:sz w:val="20"/>
          <w:szCs w:val="20"/>
          <w:lang w:val="en-US" w:eastAsia="zh-CN"/>
        </w:rPr>
      </w:pPr>
      <w:r>
        <w:rPr>
          <w:rFonts w:hint="eastAsia"/>
          <w:b/>
          <w:bCs/>
          <w:sz w:val="20"/>
          <w:szCs w:val="20"/>
          <w:lang w:val="en-US" w:eastAsia="zh-CN"/>
        </w:rPr>
        <w:t>Proposal 2: When LBT failure number exceeds the maximum value defined by RAN4, beam failure may be declared for RRC based TCI state switching procedure.</w:t>
      </w:r>
    </w:p>
    <w:p w14:paraId="70BBD3A7" w14:textId="77777777" w:rsidR="00B97E5C" w:rsidRDefault="00B97E5C" w:rsidP="00B97E5C">
      <w:pPr>
        <w:rPr>
          <w:rFonts w:cs="Arial"/>
          <w:b/>
          <w:bCs/>
          <w:color w:val="000000"/>
          <w:sz w:val="20"/>
          <w:szCs w:val="20"/>
        </w:rPr>
      </w:pPr>
      <w:bookmarkStart w:id="5" w:name="_Toc18403976"/>
      <w:bookmarkStart w:id="6" w:name="_Toc18413612"/>
      <w:bookmarkStart w:id="7" w:name="_Toc18404543"/>
      <w:r>
        <w:rPr>
          <w:rFonts w:hint="eastAsia"/>
          <w:b/>
          <w:bCs/>
          <w:sz w:val="20"/>
          <w:szCs w:val="20"/>
          <w:lang w:val="en-US" w:eastAsia="zh-CN"/>
        </w:rPr>
        <w:t xml:space="preserve">Proposal 3: </w:t>
      </w:r>
      <w:r>
        <w:rPr>
          <w:b/>
          <w:bCs/>
          <w:sz w:val="20"/>
          <w:szCs w:val="20"/>
          <w:lang w:val="en-US" w:eastAsia="zh-CN"/>
        </w:rPr>
        <w:t xml:space="preserve">In addition to declaring BFR, </w:t>
      </w:r>
      <w:r>
        <w:rPr>
          <w:rFonts w:hint="eastAsia"/>
          <w:b/>
          <w:bCs/>
          <w:sz w:val="20"/>
          <w:szCs w:val="20"/>
          <w:lang w:val="en-US" w:eastAsia="zh-CN"/>
        </w:rPr>
        <w:t xml:space="preserve">RAN2 may </w:t>
      </w:r>
      <w:r>
        <w:rPr>
          <w:b/>
          <w:bCs/>
          <w:sz w:val="20"/>
          <w:szCs w:val="20"/>
          <w:lang w:val="en-US" w:eastAsia="zh-CN"/>
        </w:rPr>
        <w:t>also</w:t>
      </w:r>
      <w:r>
        <w:rPr>
          <w:rFonts w:hint="eastAsia"/>
          <w:b/>
          <w:bCs/>
          <w:sz w:val="20"/>
          <w:szCs w:val="20"/>
          <w:lang w:val="en-US" w:eastAsia="zh-CN"/>
        </w:rPr>
        <w:t xml:space="preserve"> consider </w:t>
      </w:r>
      <w:r>
        <w:rPr>
          <w:b/>
          <w:bCs/>
          <w:sz w:val="20"/>
          <w:szCs w:val="20"/>
          <w:lang w:val="en-US" w:eastAsia="zh-CN"/>
        </w:rPr>
        <w:t>a DL LBT failure indication from MAC to RRC which can further trigger RLF</w:t>
      </w:r>
      <w:r>
        <w:rPr>
          <w:rFonts w:hint="eastAsia"/>
          <w:b/>
          <w:bCs/>
          <w:sz w:val="20"/>
          <w:szCs w:val="20"/>
          <w:lang w:val="en-US" w:eastAsia="zh-CN"/>
        </w:rPr>
        <w:t>.</w:t>
      </w:r>
    </w:p>
    <w:p w14:paraId="0DD091E9" w14:textId="77777777" w:rsidR="000D02A4" w:rsidRDefault="00173C8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5"/>
      <w:bookmarkEnd w:id="6"/>
      <w:bookmarkEnd w:id="7"/>
    </w:p>
    <w:p w14:paraId="157A40C8" w14:textId="77777777" w:rsidR="000D02A4" w:rsidRDefault="00173C80">
      <w:pPr>
        <w:pStyle w:val="NormalWeb"/>
        <w:numPr>
          <w:ilvl w:val="0"/>
          <w:numId w:val="9"/>
        </w:numPr>
        <w:spacing w:before="75" w:beforeAutospacing="0" w:after="75" w:afterAutospacing="0" w:line="315" w:lineRule="atLeast"/>
        <w:rPr>
          <w:rFonts w:cs="Arial"/>
          <w:color w:val="000000"/>
          <w:sz w:val="20"/>
          <w:szCs w:val="20"/>
        </w:rPr>
      </w:pPr>
      <w:r>
        <w:rPr>
          <w:rFonts w:cs="Arial" w:hint="eastAsia"/>
          <w:color w:val="000000"/>
          <w:sz w:val="20"/>
          <w:szCs w:val="20"/>
        </w:rPr>
        <w:t>R2-2004369</w:t>
      </w:r>
      <w:r>
        <w:rPr>
          <w:rFonts w:eastAsia="SimSun" w:cs="Arial" w:hint="eastAsia"/>
          <w:color w:val="000000"/>
          <w:sz w:val="20"/>
          <w:szCs w:val="20"/>
          <w:lang w:val="en-US" w:eastAsia="zh-CN"/>
        </w:rPr>
        <w:t>, LS on UE declaring beam failure due to LBT failure during active TCI switching.</w:t>
      </w:r>
    </w:p>
    <w:sectPr w:rsidR="000D02A4">
      <w:headerReference w:type="even" r:id="rId9"/>
      <w:headerReference w:type="default" r:id="rId10"/>
      <w:footerReference w:type="even" r:id="rId11"/>
      <w:footerReference w:type="default" r:id="rId12"/>
      <w:headerReference w:type="first" r:id="rId13"/>
      <w:footerReference w:type="first" r:id="rId14"/>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A62884" w14:textId="77777777" w:rsidR="005D67D2" w:rsidRDefault="005D67D2">
      <w:pPr>
        <w:spacing w:after="0" w:line="240" w:lineRule="auto"/>
      </w:pPr>
      <w:r>
        <w:separator/>
      </w:r>
    </w:p>
  </w:endnote>
  <w:endnote w:type="continuationSeparator" w:id="0">
    <w:p w14:paraId="32F16B03" w14:textId="77777777" w:rsidR="005D67D2" w:rsidRDefault="005D67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B41567" w14:textId="77777777" w:rsidR="000D02A4" w:rsidRDefault="00173C8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3A5EF22" w14:textId="77777777" w:rsidR="000D02A4" w:rsidRDefault="000D02A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B1796" w14:textId="77777777" w:rsidR="000D02A4" w:rsidRDefault="000D02A4">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D9A2C8" w14:textId="77777777" w:rsidR="00544FF9" w:rsidRDefault="00544F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C2310B" w14:textId="77777777" w:rsidR="005D67D2" w:rsidRDefault="005D67D2">
      <w:pPr>
        <w:spacing w:after="0" w:line="240" w:lineRule="auto"/>
      </w:pPr>
      <w:r>
        <w:separator/>
      </w:r>
    </w:p>
  </w:footnote>
  <w:footnote w:type="continuationSeparator" w:id="0">
    <w:p w14:paraId="12DF6BB4" w14:textId="77777777" w:rsidR="005D67D2" w:rsidRDefault="005D67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8547C3" w14:textId="77777777" w:rsidR="00544FF9" w:rsidRDefault="00544F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C78D6C" w14:textId="77777777" w:rsidR="000D02A4" w:rsidRDefault="000D02A4">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357CF2" w14:textId="77777777" w:rsidR="00544FF9" w:rsidRDefault="00544F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FE15FBC"/>
    <w:multiLevelType w:val="multilevel"/>
    <w:tmpl w:val="0FE15FBC"/>
    <w:lvl w:ilvl="0">
      <w:start w:val="1"/>
      <w:numFmt w:val="bullet"/>
      <w:lvlText w:val="•"/>
      <w:lvlJc w:val="left"/>
      <w:pPr>
        <w:tabs>
          <w:tab w:val="left" w:pos="720"/>
        </w:tabs>
        <w:ind w:left="720" w:hanging="360"/>
      </w:pPr>
      <w:rPr>
        <w:rFonts w:ascii="Arial" w:hAnsi="Arial" w:hint="default"/>
      </w:rPr>
    </w:lvl>
    <w:lvl w:ilvl="1">
      <w:start w:val="213"/>
      <w:numFmt w:val="bullet"/>
      <w:lvlText w:val="•"/>
      <w:lvlJc w:val="left"/>
      <w:pPr>
        <w:tabs>
          <w:tab w:val="left" w:pos="1440"/>
        </w:tabs>
        <w:ind w:left="1440" w:hanging="360"/>
      </w:pPr>
      <w:rPr>
        <w:rFonts w:ascii="Arial" w:hAnsi="Arial" w:hint="default"/>
      </w:rPr>
    </w:lvl>
    <w:lvl w:ilvl="2">
      <w:start w:val="213"/>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17F66AC2"/>
    <w:multiLevelType w:val="multilevel"/>
    <w:tmpl w:val="17F66AC2"/>
    <w:lvl w:ilvl="0">
      <w:start w:val="1"/>
      <w:numFmt w:val="bullet"/>
      <w:lvlText w:val="•"/>
      <w:lvlJc w:val="left"/>
      <w:pPr>
        <w:tabs>
          <w:tab w:val="left" w:pos="720"/>
        </w:tabs>
        <w:ind w:left="720" w:hanging="360"/>
      </w:pPr>
      <w:rPr>
        <w:rFonts w:ascii="Arial" w:hAnsi="Arial" w:hint="default"/>
      </w:rPr>
    </w:lvl>
    <w:lvl w:ilvl="1">
      <w:start w:val="213"/>
      <w:numFmt w:val="bullet"/>
      <w:lvlText w:val="•"/>
      <w:lvlJc w:val="left"/>
      <w:pPr>
        <w:tabs>
          <w:tab w:val="left" w:pos="1440"/>
        </w:tabs>
        <w:ind w:left="1440" w:hanging="360"/>
      </w:pPr>
      <w:rPr>
        <w:rFonts w:ascii="Arial" w:hAnsi="Arial" w:hint="default"/>
      </w:rPr>
    </w:lvl>
    <w:lvl w:ilvl="2">
      <w:start w:val="213"/>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7FDD08AA"/>
    <w:multiLevelType w:val="multilevel"/>
    <w:tmpl w:val="7FDD08AA"/>
    <w:lvl w:ilvl="0">
      <w:start w:val="8"/>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4"/>
  </w:num>
  <w:num w:numId="4">
    <w:abstractNumId w:val="5"/>
  </w:num>
  <w:num w:numId="5">
    <w:abstractNumId w:val="1"/>
  </w:num>
  <w:num w:numId="6">
    <w:abstractNumId w:val="8"/>
  </w:num>
  <w:num w:numId="7">
    <w:abstractNumId w:val="3"/>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doNotDisplayPageBoundaries/>
  <w:bordersDoNotSurroundHeader/>
  <w:bordersDoNotSurroundFooter/>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74A"/>
    <w:rsid w:val="00017BA5"/>
    <w:rsid w:val="00021259"/>
    <w:rsid w:val="00021359"/>
    <w:rsid w:val="000223BE"/>
    <w:rsid w:val="000248FC"/>
    <w:rsid w:val="00024E29"/>
    <w:rsid w:val="0002660A"/>
    <w:rsid w:val="00026899"/>
    <w:rsid w:val="0002698B"/>
    <w:rsid w:val="00027EEC"/>
    <w:rsid w:val="000341C3"/>
    <w:rsid w:val="00035A1E"/>
    <w:rsid w:val="00035EF9"/>
    <w:rsid w:val="00037973"/>
    <w:rsid w:val="00040A63"/>
    <w:rsid w:val="0004105F"/>
    <w:rsid w:val="00041C6E"/>
    <w:rsid w:val="00042E6F"/>
    <w:rsid w:val="00043923"/>
    <w:rsid w:val="00043FCA"/>
    <w:rsid w:val="00044DCF"/>
    <w:rsid w:val="00044EB3"/>
    <w:rsid w:val="00045EDE"/>
    <w:rsid w:val="00046E3D"/>
    <w:rsid w:val="000563ED"/>
    <w:rsid w:val="000603D6"/>
    <w:rsid w:val="0007093A"/>
    <w:rsid w:val="0007205B"/>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204F"/>
    <w:rsid w:val="000A2235"/>
    <w:rsid w:val="000A22DF"/>
    <w:rsid w:val="000A2A28"/>
    <w:rsid w:val="000A2D0A"/>
    <w:rsid w:val="000A3A4E"/>
    <w:rsid w:val="000A53F5"/>
    <w:rsid w:val="000B0495"/>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2A4"/>
    <w:rsid w:val="000D18C5"/>
    <w:rsid w:val="000D2BF9"/>
    <w:rsid w:val="000D46DC"/>
    <w:rsid w:val="000E1125"/>
    <w:rsid w:val="000E1993"/>
    <w:rsid w:val="000E1EF3"/>
    <w:rsid w:val="000E3B8A"/>
    <w:rsid w:val="000F0A49"/>
    <w:rsid w:val="000F0A7B"/>
    <w:rsid w:val="000F29F0"/>
    <w:rsid w:val="000F4CFF"/>
    <w:rsid w:val="00100030"/>
    <w:rsid w:val="00111739"/>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0571"/>
    <w:rsid w:val="001413B6"/>
    <w:rsid w:val="00141835"/>
    <w:rsid w:val="00145AFF"/>
    <w:rsid w:val="00147740"/>
    <w:rsid w:val="00150BAB"/>
    <w:rsid w:val="00160A40"/>
    <w:rsid w:val="001627D9"/>
    <w:rsid w:val="00170667"/>
    <w:rsid w:val="00170C6A"/>
    <w:rsid w:val="00171FF9"/>
    <w:rsid w:val="0017245C"/>
    <w:rsid w:val="00173C80"/>
    <w:rsid w:val="00175677"/>
    <w:rsid w:val="00175874"/>
    <w:rsid w:val="00175B74"/>
    <w:rsid w:val="001767E6"/>
    <w:rsid w:val="00176AC2"/>
    <w:rsid w:val="001802FB"/>
    <w:rsid w:val="001806A8"/>
    <w:rsid w:val="00180983"/>
    <w:rsid w:val="0018310D"/>
    <w:rsid w:val="001841BA"/>
    <w:rsid w:val="00185CD6"/>
    <w:rsid w:val="00187FEF"/>
    <w:rsid w:val="00190A8D"/>
    <w:rsid w:val="0019547D"/>
    <w:rsid w:val="00195E1F"/>
    <w:rsid w:val="00196645"/>
    <w:rsid w:val="001978AE"/>
    <w:rsid w:val="00197997"/>
    <w:rsid w:val="001A231E"/>
    <w:rsid w:val="001A384E"/>
    <w:rsid w:val="001A4015"/>
    <w:rsid w:val="001A5878"/>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3D8C"/>
    <w:rsid w:val="001E43EF"/>
    <w:rsid w:val="001E44CD"/>
    <w:rsid w:val="001E6F40"/>
    <w:rsid w:val="001F0A3C"/>
    <w:rsid w:val="001F31F0"/>
    <w:rsid w:val="001F3DF5"/>
    <w:rsid w:val="001F4346"/>
    <w:rsid w:val="00201FFE"/>
    <w:rsid w:val="00202C4B"/>
    <w:rsid w:val="00203B88"/>
    <w:rsid w:val="00206380"/>
    <w:rsid w:val="002155FA"/>
    <w:rsid w:val="00216E24"/>
    <w:rsid w:val="002176DE"/>
    <w:rsid w:val="002177BC"/>
    <w:rsid w:val="00217C8F"/>
    <w:rsid w:val="00223B64"/>
    <w:rsid w:val="00224BF7"/>
    <w:rsid w:val="0023029F"/>
    <w:rsid w:val="00231281"/>
    <w:rsid w:val="00231DC2"/>
    <w:rsid w:val="002333B7"/>
    <w:rsid w:val="002344F2"/>
    <w:rsid w:val="002368E4"/>
    <w:rsid w:val="00241832"/>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70A1C"/>
    <w:rsid w:val="00271ED8"/>
    <w:rsid w:val="002730ED"/>
    <w:rsid w:val="00281718"/>
    <w:rsid w:val="002855D0"/>
    <w:rsid w:val="00290E18"/>
    <w:rsid w:val="002910B9"/>
    <w:rsid w:val="00291D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B95"/>
    <w:rsid w:val="002D0F0A"/>
    <w:rsid w:val="002D35FA"/>
    <w:rsid w:val="002D3797"/>
    <w:rsid w:val="002D37AB"/>
    <w:rsid w:val="002D4F4B"/>
    <w:rsid w:val="002D6461"/>
    <w:rsid w:val="002D650F"/>
    <w:rsid w:val="002D6E18"/>
    <w:rsid w:val="002E002E"/>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71FD"/>
    <w:rsid w:val="00321077"/>
    <w:rsid w:val="003213D2"/>
    <w:rsid w:val="00322A09"/>
    <w:rsid w:val="00322EDB"/>
    <w:rsid w:val="0032502D"/>
    <w:rsid w:val="003268BB"/>
    <w:rsid w:val="00330072"/>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808B3"/>
    <w:rsid w:val="00380A74"/>
    <w:rsid w:val="00380ED8"/>
    <w:rsid w:val="0038146C"/>
    <w:rsid w:val="00381B58"/>
    <w:rsid w:val="00382FAE"/>
    <w:rsid w:val="00382FF1"/>
    <w:rsid w:val="003832DC"/>
    <w:rsid w:val="00384541"/>
    <w:rsid w:val="00385C87"/>
    <w:rsid w:val="00387F14"/>
    <w:rsid w:val="00391402"/>
    <w:rsid w:val="00391F87"/>
    <w:rsid w:val="00393338"/>
    <w:rsid w:val="00394FC5"/>
    <w:rsid w:val="00395A59"/>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3E62"/>
    <w:rsid w:val="003D01E0"/>
    <w:rsid w:val="003D0AC7"/>
    <w:rsid w:val="003D0EF8"/>
    <w:rsid w:val="003D1455"/>
    <w:rsid w:val="003D1A18"/>
    <w:rsid w:val="003D2B72"/>
    <w:rsid w:val="003D42C7"/>
    <w:rsid w:val="003D62B1"/>
    <w:rsid w:val="003D7765"/>
    <w:rsid w:val="003E1518"/>
    <w:rsid w:val="003E2FC9"/>
    <w:rsid w:val="003E42F6"/>
    <w:rsid w:val="003E48E7"/>
    <w:rsid w:val="003E6BF7"/>
    <w:rsid w:val="003E7C95"/>
    <w:rsid w:val="003E7D68"/>
    <w:rsid w:val="003F1437"/>
    <w:rsid w:val="003F3365"/>
    <w:rsid w:val="003F39E3"/>
    <w:rsid w:val="003F448B"/>
    <w:rsid w:val="003F58F6"/>
    <w:rsid w:val="003F6316"/>
    <w:rsid w:val="003F75E0"/>
    <w:rsid w:val="00401149"/>
    <w:rsid w:val="00402720"/>
    <w:rsid w:val="00402985"/>
    <w:rsid w:val="00403C4F"/>
    <w:rsid w:val="00406593"/>
    <w:rsid w:val="004069AC"/>
    <w:rsid w:val="004069B2"/>
    <w:rsid w:val="0040782D"/>
    <w:rsid w:val="00410408"/>
    <w:rsid w:val="00411FDA"/>
    <w:rsid w:val="00413229"/>
    <w:rsid w:val="00413D6F"/>
    <w:rsid w:val="00414B87"/>
    <w:rsid w:val="004150C6"/>
    <w:rsid w:val="004228A3"/>
    <w:rsid w:val="004229AC"/>
    <w:rsid w:val="00423D3B"/>
    <w:rsid w:val="004245A3"/>
    <w:rsid w:val="00424A48"/>
    <w:rsid w:val="004274EC"/>
    <w:rsid w:val="00427917"/>
    <w:rsid w:val="00430542"/>
    <w:rsid w:val="00433364"/>
    <w:rsid w:val="004342E4"/>
    <w:rsid w:val="00436238"/>
    <w:rsid w:val="00441EB5"/>
    <w:rsid w:val="00442CB8"/>
    <w:rsid w:val="0044341B"/>
    <w:rsid w:val="00443D84"/>
    <w:rsid w:val="00444F7D"/>
    <w:rsid w:val="00445007"/>
    <w:rsid w:val="00446A9B"/>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C36"/>
    <w:rsid w:val="00475E38"/>
    <w:rsid w:val="0048006F"/>
    <w:rsid w:val="00482BBB"/>
    <w:rsid w:val="00485114"/>
    <w:rsid w:val="00485AE4"/>
    <w:rsid w:val="00486111"/>
    <w:rsid w:val="0049176F"/>
    <w:rsid w:val="00492EA5"/>
    <w:rsid w:val="00493247"/>
    <w:rsid w:val="00494981"/>
    <w:rsid w:val="00495E19"/>
    <w:rsid w:val="0049613E"/>
    <w:rsid w:val="0049650D"/>
    <w:rsid w:val="004A0053"/>
    <w:rsid w:val="004A014A"/>
    <w:rsid w:val="004A0572"/>
    <w:rsid w:val="004A1051"/>
    <w:rsid w:val="004A1B41"/>
    <w:rsid w:val="004A2687"/>
    <w:rsid w:val="004A402F"/>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1EBD"/>
    <w:rsid w:val="004E3A45"/>
    <w:rsid w:val="004E3B7D"/>
    <w:rsid w:val="004E3E3E"/>
    <w:rsid w:val="004E4863"/>
    <w:rsid w:val="004E5219"/>
    <w:rsid w:val="004E5753"/>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736"/>
    <w:rsid w:val="00525585"/>
    <w:rsid w:val="00525811"/>
    <w:rsid w:val="00525BAC"/>
    <w:rsid w:val="0052657B"/>
    <w:rsid w:val="00534869"/>
    <w:rsid w:val="0053653D"/>
    <w:rsid w:val="005371D2"/>
    <w:rsid w:val="00537528"/>
    <w:rsid w:val="00542ED7"/>
    <w:rsid w:val="00544FF9"/>
    <w:rsid w:val="00545A76"/>
    <w:rsid w:val="005506C7"/>
    <w:rsid w:val="005514AA"/>
    <w:rsid w:val="00553234"/>
    <w:rsid w:val="0055402E"/>
    <w:rsid w:val="0055689F"/>
    <w:rsid w:val="00561349"/>
    <w:rsid w:val="00561E2F"/>
    <w:rsid w:val="00563B02"/>
    <w:rsid w:val="005657FC"/>
    <w:rsid w:val="00565A4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220B"/>
    <w:rsid w:val="005B2E19"/>
    <w:rsid w:val="005B66D2"/>
    <w:rsid w:val="005B69F7"/>
    <w:rsid w:val="005B7842"/>
    <w:rsid w:val="005C1893"/>
    <w:rsid w:val="005C1A52"/>
    <w:rsid w:val="005C1AC7"/>
    <w:rsid w:val="005C20A4"/>
    <w:rsid w:val="005C2356"/>
    <w:rsid w:val="005D3051"/>
    <w:rsid w:val="005D57F1"/>
    <w:rsid w:val="005D67D2"/>
    <w:rsid w:val="005D680C"/>
    <w:rsid w:val="005D7B3F"/>
    <w:rsid w:val="005E06D3"/>
    <w:rsid w:val="005E27C0"/>
    <w:rsid w:val="005E4F1C"/>
    <w:rsid w:val="005E7B04"/>
    <w:rsid w:val="005E7DA7"/>
    <w:rsid w:val="005F043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3239"/>
    <w:rsid w:val="0060473D"/>
    <w:rsid w:val="006053DC"/>
    <w:rsid w:val="00607058"/>
    <w:rsid w:val="0060767B"/>
    <w:rsid w:val="00607A61"/>
    <w:rsid w:val="006127D4"/>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C93"/>
    <w:rsid w:val="00645CCB"/>
    <w:rsid w:val="006503F8"/>
    <w:rsid w:val="00650D0F"/>
    <w:rsid w:val="00651856"/>
    <w:rsid w:val="006521E7"/>
    <w:rsid w:val="0065579F"/>
    <w:rsid w:val="006608AE"/>
    <w:rsid w:val="00670351"/>
    <w:rsid w:val="006706AA"/>
    <w:rsid w:val="006718B7"/>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54BD"/>
    <w:rsid w:val="006968FD"/>
    <w:rsid w:val="006978B2"/>
    <w:rsid w:val="00697DD7"/>
    <w:rsid w:val="006A008F"/>
    <w:rsid w:val="006A069D"/>
    <w:rsid w:val="006A1FC4"/>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60A2"/>
    <w:rsid w:val="006C60B2"/>
    <w:rsid w:val="006C6193"/>
    <w:rsid w:val="006D0533"/>
    <w:rsid w:val="006D5430"/>
    <w:rsid w:val="006D63EF"/>
    <w:rsid w:val="006D783C"/>
    <w:rsid w:val="006D7C19"/>
    <w:rsid w:val="006D7CA8"/>
    <w:rsid w:val="006E2FE4"/>
    <w:rsid w:val="006E36C6"/>
    <w:rsid w:val="006E3B73"/>
    <w:rsid w:val="006E7570"/>
    <w:rsid w:val="006F1491"/>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1AF"/>
    <w:rsid w:val="00705FA1"/>
    <w:rsid w:val="00707E83"/>
    <w:rsid w:val="00711E45"/>
    <w:rsid w:val="00715037"/>
    <w:rsid w:val="007165B5"/>
    <w:rsid w:val="007165BE"/>
    <w:rsid w:val="007200FA"/>
    <w:rsid w:val="00723530"/>
    <w:rsid w:val="00725CC4"/>
    <w:rsid w:val="00726958"/>
    <w:rsid w:val="00727D4D"/>
    <w:rsid w:val="00731322"/>
    <w:rsid w:val="00731E30"/>
    <w:rsid w:val="00733A47"/>
    <w:rsid w:val="00733B79"/>
    <w:rsid w:val="00736CDD"/>
    <w:rsid w:val="00736FEF"/>
    <w:rsid w:val="00737516"/>
    <w:rsid w:val="00741230"/>
    <w:rsid w:val="0074310F"/>
    <w:rsid w:val="007454C1"/>
    <w:rsid w:val="00745C1D"/>
    <w:rsid w:val="00746271"/>
    <w:rsid w:val="00746A4E"/>
    <w:rsid w:val="00746B0B"/>
    <w:rsid w:val="007517C3"/>
    <w:rsid w:val="00751B08"/>
    <w:rsid w:val="00751F23"/>
    <w:rsid w:val="0075278C"/>
    <w:rsid w:val="00756779"/>
    <w:rsid w:val="007573D2"/>
    <w:rsid w:val="007577AC"/>
    <w:rsid w:val="00760C49"/>
    <w:rsid w:val="00761BE2"/>
    <w:rsid w:val="007626A2"/>
    <w:rsid w:val="007651F0"/>
    <w:rsid w:val="00765D32"/>
    <w:rsid w:val="007705A1"/>
    <w:rsid w:val="00770F43"/>
    <w:rsid w:val="00771468"/>
    <w:rsid w:val="007719AC"/>
    <w:rsid w:val="00773686"/>
    <w:rsid w:val="0077449C"/>
    <w:rsid w:val="00776AD0"/>
    <w:rsid w:val="00780871"/>
    <w:rsid w:val="00787A57"/>
    <w:rsid w:val="00787B7D"/>
    <w:rsid w:val="00790754"/>
    <w:rsid w:val="00792D48"/>
    <w:rsid w:val="00793203"/>
    <w:rsid w:val="00794677"/>
    <w:rsid w:val="00795931"/>
    <w:rsid w:val="00796A2A"/>
    <w:rsid w:val="00797EE2"/>
    <w:rsid w:val="007A053E"/>
    <w:rsid w:val="007A21A1"/>
    <w:rsid w:val="007A2A69"/>
    <w:rsid w:val="007A5F9C"/>
    <w:rsid w:val="007A6821"/>
    <w:rsid w:val="007B0474"/>
    <w:rsid w:val="007B055F"/>
    <w:rsid w:val="007B0BAC"/>
    <w:rsid w:val="007B3EE9"/>
    <w:rsid w:val="007B4B41"/>
    <w:rsid w:val="007B6028"/>
    <w:rsid w:val="007C0BA7"/>
    <w:rsid w:val="007C1074"/>
    <w:rsid w:val="007C33E4"/>
    <w:rsid w:val="007C41B3"/>
    <w:rsid w:val="007C44F4"/>
    <w:rsid w:val="007C501B"/>
    <w:rsid w:val="007C6325"/>
    <w:rsid w:val="007D11B8"/>
    <w:rsid w:val="007D1F28"/>
    <w:rsid w:val="007D1FA3"/>
    <w:rsid w:val="007D2587"/>
    <w:rsid w:val="007D36F2"/>
    <w:rsid w:val="007D5A25"/>
    <w:rsid w:val="007D5A65"/>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8013CA"/>
    <w:rsid w:val="00801F09"/>
    <w:rsid w:val="00802795"/>
    <w:rsid w:val="008056CF"/>
    <w:rsid w:val="00806C7C"/>
    <w:rsid w:val="0080728E"/>
    <w:rsid w:val="0081398E"/>
    <w:rsid w:val="00814945"/>
    <w:rsid w:val="00814985"/>
    <w:rsid w:val="0081500E"/>
    <w:rsid w:val="008160BF"/>
    <w:rsid w:val="00816F96"/>
    <w:rsid w:val="008170EC"/>
    <w:rsid w:val="008175D4"/>
    <w:rsid w:val="008219AF"/>
    <w:rsid w:val="00823AF8"/>
    <w:rsid w:val="0082620A"/>
    <w:rsid w:val="008267CB"/>
    <w:rsid w:val="00827512"/>
    <w:rsid w:val="00835356"/>
    <w:rsid w:val="00836D5A"/>
    <w:rsid w:val="0083795A"/>
    <w:rsid w:val="00837C9F"/>
    <w:rsid w:val="00841B23"/>
    <w:rsid w:val="00843379"/>
    <w:rsid w:val="008436F0"/>
    <w:rsid w:val="00843DAA"/>
    <w:rsid w:val="00843F40"/>
    <w:rsid w:val="008505B6"/>
    <w:rsid w:val="00850AD1"/>
    <w:rsid w:val="00851A3E"/>
    <w:rsid w:val="00851C79"/>
    <w:rsid w:val="00852259"/>
    <w:rsid w:val="0085338A"/>
    <w:rsid w:val="00853419"/>
    <w:rsid w:val="00855CBD"/>
    <w:rsid w:val="00856F99"/>
    <w:rsid w:val="008609B3"/>
    <w:rsid w:val="00860FE6"/>
    <w:rsid w:val="00864140"/>
    <w:rsid w:val="00864D17"/>
    <w:rsid w:val="008702BF"/>
    <w:rsid w:val="008719DB"/>
    <w:rsid w:val="00871FA9"/>
    <w:rsid w:val="00872250"/>
    <w:rsid w:val="008731B8"/>
    <w:rsid w:val="00873D16"/>
    <w:rsid w:val="008757FA"/>
    <w:rsid w:val="008768D2"/>
    <w:rsid w:val="00880F6C"/>
    <w:rsid w:val="0088223F"/>
    <w:rsid w:val="008850B6"/>
    <w:rsid w:val="008855E2"/>
    <w:rsid w:val="00885E69"/>
    <w:rsid w:val="00886521"/>
    <w:rsid w:val="00887F76"/>
    <w:rsid w:val="00891079"/>
    <w:rsid w:val="00891E8C"/>
    <w:rsid w:val="008931D5"/>
    <w:rsid w:val="008937A3"/>
    <w:rsid w:val="0089509A"/>
    <w:rsid w:val="00896096"/>
    <w:rsid w:val="008A4FE1"/>
    <w:rsid w:val="008A5E28"/>
    <w:rsid w:val="008B302A"/>
    <w:rsid w:val="008B4198"/>
    <w:rsid w:val="008B4609"/>
    <w:rsid w:val="008B725C"/>
    <w:rsid w:val="008C1D6D"/>
    <w:rsid w:val="008C3F98"/>
    <w:rsid w:val="008C594A"/>
    <w:rsid w:val="008D1DAC"/>
    <w:rsid w:val="008D23AF"/>
    <w:rsid w:val="008D3A05"/>
    <w:rsid w:val="008D3E0C"/>
    <w:rsid w:val="008D4A09"/>
    <w:rsid w:val="008D681A"/>
    <w:rsid w:val="008D6B1A"/>
    <w:rsid w:val="008D6D38"/>
    <w:rsid w:val="008E03F0"/>
    <w:rsid w:val="008E0617"/>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400CF"/>
    <w:rsid w:val="00940533"/>
    <w:rsid w:val="009410AE"/>
    <w:rsid w:val="009410AF"/>
    <w:rsid w:val="009432FE"/>
    <w:rsid w:val="009438F8"/>
    <w:rsid w:val="00944414"/>
    <w:rsid w:val="00945FA9"/>
    <w:rsid w:val="0094691D"/>
    <w:rsid w:val="00954F42"/>
    <w:rsid w:val="00957172"/>
    <w:rsid w:val="009578D1"/>
    <w:rsid w:val="00957A33"/>
    <w:rsid w:val="0096003B"/>
    <w:rsid w:val="0096081E"/>
    <w:rsid w:val="0096137E"/>
    <w:rsid w:val="00961E92"/>
    <w:rsid w:val="00962C66"/>
    <w:rsid w:val="0096459F"/>
    <w:rsid w:val="009647C5"/>
    <w:rsid w:val="0096604F"/>
    <w:rsid w:val="00966280"/>
    <w:rsid w:val="009663C5"/>
    <w:rsid w:val="00971DDC"/>
    <w:rsid w:val="009737E4"/>
    <w:rsid w:val="009755AD"/>
    <w:rsid w:val="0097578C"/>
    <w:rsid w:val="009757E0"/>
    <w:rsid w:val="0097718E"/>
    <w:rsid w:val="009800B6"/>
    <w:rsid w:val="0098564A"/>
    <w:rsid w:val="00985DB7"/>
    <w:rsid w:val="009861C6"/>
    <w:rsid w:val="00986B3C"/>
    <w:rsid w:val="009903A8"/>
    <w:rsid w:val="00991070"/>
    <w:rsid w:val="00992DCD"/>
    <w:rsid w:val="00994392"/>
    <w:rsid w:val="00994702"/>
    <w:rsid w:val="00996E62"/>
    <w:rsid w:val="00997875"/>
    <w:rsid w:val="00997D39"/>
    <w:rsid w:val="00997FD5"/>
    <w:rsid w:val="009A1CA8"/>
    <w:rsid w:val="009A3AAD"/>
    <w:rsid w:val="009A405A"/>
    <w:rsid w:val="009A5082"/>
    <w:rsid w:val="009A618E"/>
    <w:rsid w:val="009B155B"/>
    <w:rsid w:val="009B183F"/>
    <w:rsid w:val="009B1F5B"/>
    <w:rsid w:val="009B3DB8"/>
    <w:rsid w:val="009B4769"/>
    <w:rsid w:val="009B4FF0"/>
    <w:rsid w:val="009C2086"/>
    <w:rsid w:val="009C3006"/>
    <w:rsid w:val="009D159F"/>
    <w:rsid w:val="009D2A16"/>
    <w:rsid w:val="009D6952"/>
    <w:rsid w:val="009D7F9A"/>
    <w:rsid w:val="009E068F"/>
    <w:rsid w:val="009E1B89"/>
    <w:rsid w:val="009E47DB"/>
    <w:rsid w:val="009E619C"/>
    <w:rsid w:val="009E7020"/>
    <w:rsid w:val="009E7045"/>
    <w:rsid w:val="009E748B"/>
    <w:rsid w:val="009F1449"/>
    <w:rsid w:val="009F2244"/>
    <w:rsid w:val="009F3D12"/>
    <w:rsid w:val="009F4BCF"/>
    <w:rsid w:val="00A03D3F"/>
    <w:rsid w:val="00A04BEB"/>
    <w:rsid w:val="00A04DE2"/>
    <w:rsid w:val="00A05412"/>
    <w:rsid w:val="00A11A20"/>
    <w:rsid w:val="00A11DFB"/>
    <w:rsid w:val="00A11F1E"/>
    <w:rsid w:val="00A13F80"/>
    <w:rsid w:val="00A14BA5"/>
    <w:rsid w:val="00A14E89"/>
    <w:rsid w:val="00A15C80"/>
    <w:rsid w:val="00A15DA4"/>
    <w:rsid w:val="00A20607"/>
    <w:rsid w:val="00A20D0F"/>
    <w:rsid w:val="00A22250"/>
    <w:rsid w:val="00A23127"/>
    <w:rsid w:val="00A2486B"/>
    <w:rsid w:val="00A25160"/>
    <w:rsid w:val="00A259B5"/>
    <w:rsid w:val="00A275B2"/>
    <w:rsid w:val="00A2769F"/>
    <w:rsid w:val="00A27E76"/>
    <w:rsid w:val="00A31A13"/>
    <w:rsid w:val="00A31A7B"/>
    <w:rsid w:val="00A323D7"/>
    <w:rsid w:val="00A32701"/>
    <w:rsid w:val="00A32A1D"/>
    <w:rsid w:val="00A330EB"/>
    <w:rsid w:val="00A334CC"/>
    <w:rsid w:val="00A42D37"/>
    <w:rsid w:val="00A44BE1"/>
    <w:rsid w:val="00A4500D"/>
    <w:rsid w:val="00A504A8"/>
    <w:rsid w:val="00A5087B"/>
    <w:rsid w:val="00A527D9"/>
    <w:rsid w:val="00A53CDD"/>
    <w:rsid w:val="00A542B8"/>
    <w:rsid w:val="00A54719"/>
    <w:rsid w:val="00A5709E"/>
    <w:rsid w:val="00A612B9"/>
    <w:rsid w:val="00A63A41"/>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4276"/>
    <w:rsid w:val="00AC464D"/>
    <w:rsid w:val="00AC51E8"/>
    <w:rsid w:val="00AC5C27"/>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132A"/>
    <w:rsid w:val="00B029C1"/>
    <w:rsid w:val="00B07968"/>
    <w:rsid w:val="00B07B19"/>
    <w:rsid w:val="00B10FBA"/>
    <w:rsid w:val="00B1189C"/>
    <w:rsid w:val="00B12666"/>
    <w:rsid w:val="00B126DA"/>
    <w:rsid w:val="00B15903"/>
    <w:rsid w:val="00B166C8"/>
    <w:rsid w:val="00B235EC"/>
    <w:rsid w:val="00B23604"/>
    <w:rsid w:val="00B243E6"/>
    <w:rsid w:val="00B2566A"/>
    <w:rsid w:val="00B2704A"/>
    <w:rsid w:val="00B306C5"/>
    <w:rsid w:val="00B36434"/>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5BF6"/>
    <w:rsid w:val="00B670CE"/>
    <w:rsid w:val="00B67B79"/>
    <w:rsid w:val="00B67E74"/>
    <w:rsid w:val="00B716F8"/>
    <w:rsid w:val="00B82234"/>
    <w:rsid w:val="00B8283E"/>
    <w:rsid w:val="00B837AA"/>
    <w:rsid w:val="00B87D03"/>
    <w:rsid w:val="00B909E8"/>
    <w:rsid w:val="00B928EE"/>
    <w:rsid w:val="00B92AD5"/>
    <w:rsid w:val="00B94BA4"/>
    <w:rsid w:val="00B97DB5"/>
    <w:rsid w:val="00B97E5C"/>
    <w:rsid w:val="00BA52AE"/>
    <w:rsid w:val="00BB1325"/>
    <w:rsid w:val="00BB156E"/>
    <w:rsid w:val="00BB3ABA"/>
    <w:rsid w:val="00BB4FEC"/>
    <w:rsid w:val="00BB65B1"/>
    <w:rsid w:val="00BB69D5"/>
    <w:rsid w:val="00BC03E1"/>
    <w:rsid w:val="00BC34F8"/>
    <w:rsid w:val="00BC4593"/>
    <w:rsid w:val="00BC680E"/>
    <w:rsid w:val="00BD05BF"/>
    <w:rsid w:val="00BD464A"/>
    <w:rsid w:val="00BD4793"/>
    <w:rsid w:val="00BD6CFB"/>
    <w:rsid w:val="00BD7D09"/>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02D2A"/>
    <w:rsid w:val="00C0358E"/>
    <w:rsid w:val="00C057BD"/>
    <w:rsid w:val="00C11D21"/>
    <w:rsid w:val="00C11EFC"/>
    <w:rsid w:val="00C1675F"/>
    <w:rsid w:val="00C2052B"/>
    <w:rsid w:val="00C21F2D"/>
    <w:rsid w:val="00C23439"/>
    <w:rsid w:val="00C267BE"/>
    <w:rsid w:val="00C27213"/>
    <w:rsid w:val="00C278C2"/>
    <w:rsid w:val="00C3083D"/>
    <w:rsid w:val="00C32425"/>
    <w:rsid w:val="00C33DEA"/>
    <w:rsid w:val="00C35152"/>
    <w:rsid w:val="00C353D0"/>
    <w:rsid w:val="00C35AE1"/>
    <w:rsid w:val="00C41E00"/>
    <w:rsid w:val="00C41E55"/>
    <w:rsid w:val="00C43809"/>
    <w:rsid w:val="00C44FC9"/>
    <w:rsid w:val="00C45167"/>
    <w:rsid w:val="00C473CE"/>
    <w:rsid w:val="00C47C16"/>
    <w:rsid w:val="00C50168"/>
    <w:rsid w:val="00C5115B"/>
    <w:rsid w:val="00C5180C"/>
    <w:rsid w:val="00C52111"/>
    <w:rsid w:val="00C523E4"/>
    <w:rsid w:val="00C531B7"/>
    <w:rsid w:val="00C53622"/>
    <w:rsid w:val="00C54982"/>
    <w:rsid w:val="00C54B46"/>
    <w:rsid w:val="00C55B71"/>
    <w:rsid w:val="00C56DB9"/>
    <w:rsid w:val="00C621A1"/>
    <w:rsid w:val="00C63153"/>
    <w:rsid w:val="00C63CB8"/>
    <w:rsid w:val="00C64FC3"/>
    <w:rsid w:val="00C65327"/>
    <w:rsid w:val="00C67087"/>
    <w:rsid w:val="00C67235"/>
    <w:rsid w:val="00C67382"/>
    <w:rsid w:val="00C72471"/>
    <w:rsid w:val="00C72B4C"/>
    <w:rsid w:val="00C8086B"/>
    <w:rsid w:val="00C82D97"/>
    <w:rsid w:val="00C84D14"/>
    <w:rsid w:val="00C91C45"/>
    <w:rsid w:val="00C9369C"/>
    <w:rsid w:val="00C93EDD"/>
    <w:rsid w:val="00C953EF"/>
    <w:rsid w:val="00C953F6"/>
    <w:rsid w:val="00C97FD3"/>
    <w:rsid w:val="00CA0363"/>
    <w:rsid w:val="00CA06A4"/>
    <w:rsid w:val="00CA2343"/>
    <w:rsid w:val="00CA501F"/>
    <w:rsid w:val="00CA59FA"/>
    <w:rsid w:val="00CA61CF"/>
    <w:rsid w:val="00CA759F"/>
    <w:rsid w:val="00CB08EB"/>
    <w:rsid w:val="00CB1749"/>
    <w:rsid w:val="00CB3A9F"/>
    <w:rsid w:val="00CB447F"/>
    <w:rsid w:val="00CB5048"/>
    <w:rsid w:val="00CC10DA"/>
    <w:rsid w:val="00CC156D"/>
    <w:rsid w:val="00CC58C3"/>
    <w:rsid w:val="00CD229F"/>
    <w:rsid w:val="00CD3380"/>
    <w:rsid w:val="00CE2D1F"/>
    <w:rsid w:val="00CE316E"/>
    <w:rsid w:val="00CE52F0"/>
    <w:rsid w:val="00CF121A"/>
    <w:rsid w:val="00CF18A3"/>
    <w:rsid w:val="00CF356A"/>
    <w:rsid w:val="00CF4A61"/>
    <w:rsid w:val="00CF4B9A"/>
    <w:rsid w:val="00D0108B"/>
    <w:rsid w:val="00D029CB"/>
    <w:rsid w:val="00D04274"/>
    <w:rsid w:val="00D05A8B"/>
    <w:rsid w:val="00D06659"/>
    <w:rsid w:val="00D0699D"/>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E14"/>
    <w:rsid w:val="00D4755C"/>
    <w:rsid w:val="00D52834"/>
    <w:rsid w:val="00D544FE"/>
    <w:rsid w:val="00D5596F"/>
    <w:rsid w:val="00D56F3F"/>
    <w:rsid w:val="00D61F13"/>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90CC5"/>
    <w:rsid w:val="00D92C6A"/>
    <w:rsid w:val="00D95330"/>
    <w:rsid w:val="00DA12AB"/>
    <w:rsid w:val="00DA7973"/>
    <w:rsid w:val="00DB3689"/>
    <w:rsid w:val="00DB3767"/>
    <w:rsid w:val="00DB39E0"/>
    <w:rsid w:val="00DB7729"/>
    <w:rsid w:val="00DB7BB9"/>
    <w:rsid w:val="00DC22BE"/>
    <w:rsid w:val="00DC5F62"/>
    <w:rsid w:val="00DC7FAF"/>
    <w:rsid w:val="00DD02BA"/>
    <w:rsid w:val="00DD100B"/>
    <w:rsid w:val="00DD34FE"/>
    <w:rsid w:val="00DD42F9"/>
    <w:rsid w:val="00DE1B4A"/>
    <w:rsid w:val="00DE2CFF"/>
    <w:rsid w:val="00DE3330"/>
    <w:rsid w:val="00DE5939"/>
    <w:rsid w:val="00DE6492"/>
    <w:rsid w:val="00DE7200"/>
    <w:rsid w:val="00DF365A"/>
    <w:rsid w:val="00DF4CBC"/>
    <w:rsid w:val="00DF5370"/>
    <w:rsid w:val="00DF7E4D"/>
    <w:rsid w:val="00E0032E"/>
    <w:rsid w:val="00E0205D"/>
    <w:rsid w:val="00E0313E"/>
    <w:rsid w:val="00E0491A"/>
    <w:rsid w:val="00E0557E"/>
    <w:rsid w:val="00E1018A"/>
    <w:rsid w:val="00E120F4"/>
    <w:rsid w:val="00E136D8"/>
    <w:rsid w:val="00E153F6"/>
    <w:rsid w:val="00E15F7E"/>
    <w:rsid w:val="00E16C0C"/>
    <w:rsid w:val="00E173DF"/>
    <w:rsid w:val="00E248EB"/>
    <w:rsid w:val="00E27FC2"/>
    <w:rsid w:val="00E31912"/>
    <w:rsid w:val="00E31B60"/>
    <w:rsid w:val="00E34D88"/>
    <w:rsid w:val="00E353DB"/>
    <w:rsid w:val="00E362F5"/>
    <w:rsid w:val="00E36375"/>
    <w:rsid w:val="00E37A8B"/>
    <w:rsid w:val="00E40D48"/>
    <w:rsid w:val="00E40DBF"/>
    <w:rsid w:val="00E42C98"/>
    <w:rsid w:val="00E43798"/>
    <w:rsid w:val="00E43842"/>
    <w:rsid w:val="00E44765"/>
    <w:rsid w:val="00E468CA"/>
    <w:rsid w:val="00E47D3F"/>
    <w:rsid w:val="00E505FB"/>
    <w:rsid w:val="00E521EE"/>
    <w:rsid w:val="00E6166E"/>
    <w:rsid w:val="00E62239"/>
    <w:rsid w:val="00E62764"/>
    <w:rsid w:val="00E62B3D"/>
    <w:rsid w:val="00E6315A"/>
    <w:rsid w:val="00E63986"/>
    <w:rsid w:val="00E63D20"/>
    <w:rsid w:val="00E65E86"/>
    <w:rsid w:val="00E66C3B"/>
    <w:rsid w:val="00E71B00"/>
    <w:rsid w:val="00E73C7F"/>
    <w:rsid w:val="00E73D86"/>
    <w:rsid w:val="00E740D9"/>
    <w:rsid w:val="00E77D65"/>
    <w:rsid w:val="00E821B2"/>
    <w:rsid w:val="00E8224F"/>
    <w:rsid w:val="00E853FB"/>
    <w:rsid w:val="00E85E3C"/>
    <w:rsid w:val="00E902C7"/>
    <w:rsid w:val="00E943EE"/>
    <w:rsid w:val="00E94456"/>
    <w:rsid w:val="00E94EB7"/>
    <w:rsid w:val="00E94FE2"/>
    <w:rsid w:val="00E95E39"/>
    <w:rsid w:val="00EA0385"/>
    <w:rsid w:val="00EA3791"/>
    <w:rsid w:val="00EA4D0C"/>
    <w:rsid w:val="00EA4E53"/>
    <w:rsid w:val="00EA6259"/>
    <w:rsid w:val="00EA63A0"/>
    <w:rsid w:val="00EA7720"/>
    <w:rsid w:val="00EA7F21"/>
    <w:rsid w:val="00EB1559"/>
    <w:rsid w:val="00EB1663"/>
    <w:rsid w:val="00EB2521"/>
    <w:rsid w:val="00EB38A5"/>
    <w:rsid w:val="00EB3B41"/>
    <w:rsid w:val="00EB4324"/>
    <w:rsid w:val="00EB4808"/>
    <w:rsid w:val="00EB6B41"/>
    <w:rsid w:val="00EB7739"/>
    <w:rsid w:val="00EC1D1E"/>
    <w:rsid w:val="00EC201F"/>
    <w:rsid w:val="00EC2DD1"/>
    <w:rsid w:val="00EC465B"/>
    <w:rsid w:val="00EC5A04"/>
    <w:rsid w:val="00EC7D8F"/>
    <w:rsid w:val="00EC7E1A"/>
    <w:rsid w:val="00ED09F7"/>
    <w:rsid w:val="00ED0F55"/>
    <w:rsid w:val="00ED19D2"/>
    <w:rsid w:val="00ED5032"/>
    <w:rsid w:val="00ED5270"/>
    <w:rsid w:val="00ED7856"/>
    <w:rsid w:val="00ED792B"/>
    <w:rsid w:val="00ED7DC2"/>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5414"/>
    <w:rsid w:val="00F16AB3"/>
    <w:rsid w:val="00F202B4"/>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53A4"/>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3D21"/>
    <w:rsid w:val="00F73DFD"/>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D1379"/>
    <w:rsid w:val="00FD33A2"/>
    <w:rsid w:val="00FD352C"/>
    <w:rsid w:val="00FD6206"/>
    <w:rsid w:val="00FE09E7"/>
    <w:rsid w:val="00FE2161"/>
    <w:rsid w:val="00FE3D39"/>
    <w:rsid w:val="00FE58B6"/>
    <w:rsid w:val="00FE7430"/>
    <w:rsid w:val="00FF0471"/>
    <w:rsid w:val="00FF0771"/>
    <w:rsid w:val="00FF0AAD"/>
    <w:rsid w:val="00FF29CE"/>
    <w:rsid w:val="00FF2E7C"/>
    <w:rsid w:val="00FF33F4"/>
    <w:rsid w:val="00FF3FC8"/>
    <w:rsid w:val="022A7750"/>
    <w:rsid w:val="08D53ACF"/>
    <w:rsid w:val="0EC314FE"/>
    <w:rsid w:val="0F9768B9"/>
    <w:rsid w:val="10D15613"/>
    <w:rsid w:val="15F823FC"/>
    <w:rsid w:val="186973FD"/>
    <w:rsid w:val="1B3A1797"/>
    <w:rsid w:val="20173D26"/>
    <w:rsid w:val="20705710"/>
    <w:rsid w:val="212233F3"/>
    <w:rsid w:val="232660FF"/>
    <w:rsid w:val="23F140C2"/>
    <w:rsid w:val="27AE2EE9"/>
    <w:rsid w:val="2A603060"/>
    <w:rsid w:val="2C7F2EA6"/>
    <w:rsid w:val="2CD733E9"/>
    <w:rsid w:val="2D1368E4"/>
    <w:rsid w:val="2D4A5535"/>
    <w:rsid w:val="2ED85630"/>
    <w:rsid w:val="2F236D8F"/>
    <w:rsid w:val="2FE4195C"/>
    <w:rsid w:val="3090209F"/>
    <w:rsid w:val="379375B2"/>
    <w:rsid w:val="39731B4D"/>
    <w:rsid w:val="3C3F7E0E"/>
    <w:rsid w:val="3EC147A2"/>
    <w:rsid w:val="42734BA8"/>
    <w:rsid w:val="437906BF"/>
    <w:rsid w:val="44C70D28"/>
    <w:rsid w:val="4625557D"/>
    <w:rsid w:val="478C543D"/>
    <w:rsid w:val="47F74384"/>
    <w:rsid w:val="4FF3454A"/>
    <w:rsid w:val="54171132"/>
    <w:rsid w:val="55A64F08"/>
    <w:rsid w:val="57F8397E"/>
    <w:rsid w:val="5F94434F"/>
    <w:rsid w:val="5FAB29AA"/>
    <w:rsid w:val="67D448D6"/>
    <w:rsid w:val="6827236D"/>
    <w:rsid w:val="68CA09A9"/>
    <w:rsid w:val="69797C2C"/>
    <w:rsid w:val="6B6B19EA"/>
    <w:rsid w:val="6C1C21DF"/>
    <w:rsid w:val="6D1317EF"/>
    <w:rsid w:val="72366808"/>
    <w:rsid w:val="757610A0"/>
    <w:rsid w:val="7958785D"/>
    <w:rsid w:val="796A6A9C"/>
    <w:rsid w:val="7B66413A"/>
    <w:rsid w:val="7DBE3060"/>
    <w:rsid w:val="7DCC6F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DF3FB7"/>
  <w15:docId w15:val="{3A77FB56-181E-4399-8439-9CEE9F503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paragraph" w:styleId="CommentText">
    <w:name w:val="annotation text"/>
    <w:basedOn w:val="Normal"/>
    <w:link w:val="CommentTextChar"/>
    <w:unhideWhenUsed/>
    <w:qFormat/>
    <w:pPr>
      <w:jc w:val="left"/>
    </w:p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qFormat/>
    <w:rPr>
      <w:kern w:val="2"/>
      <w:sz w:val="18"/>
      <w:szCs w:val="18"/>
    </w:rPr>
  </w:style>
  <w:style w:type="paragraph" w:customStyle="1" w:styleId="ListParagraph1">
    <w:name w:val="List Paragraph1"/>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ind w:left="360" w:hanging="360"/>
      <w:jc w:val="both"/>
    </w:pPr>
    <w:rPr>
      <w:rFonts w:ascii="SimSun" w:eastAsiaTheme="minorEastAsia" w:hAnsi="Arial"/>
      <w:kern w:val="2"/>
      <w:sz w:val="18"/>
      <w:szCs w:val="18"/>
      <w:lang w:val="en-US" w:eastAsia="zh-CN"/>
    </w:rPr>
  </w:style>
  <w:style w:type="paragraph" w:customStyle="1" w:styleId="a6">
    <w:name w:val="示例内容"/>
    <w:qFormat/>
    <w:pPr>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kern w:val="2"/>
      <w:sz w:val="32"/>
      <w:szCs w:val="21"/>
      <w:lang w:val="en-US" w:eastAsia="en-US"/>
    </w:rPr>
  </w:style>
  <w:style w:type="paragraph" w:customStyle="1" w:styleId="aff7">
    <w:name w:val="标准书眉一"/>
    <w:qFormat/>
    <w:pPr>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eastAsiaTheme="minorEastAsia" w:hAnsi="Arial"/>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1"/>
    <w:link w:val="3GPPProposalChar"/>
    <w:qFormat/>
    <w:pPr>
      <w:numPr>
        <w:numId w:val="3"/>
      </w:numPr>
      <w:ind w:firstLineChars="0" w:firstLine="0"/>
    </w:pPr>
    <w:rPr>
      <w:rFonts w:cs="Arial"/>
      <w:color w:val="000000"/>
    </w:rPr>
  </w:style>
  <w:style w:type="paragraph" w:customStyle="1" w:styleId="3GPPObservation">
    <w:name w:val="3GPPObservation"/>
    <w:basedOn w:val="ListParagraph1"/>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TAHCar">
    <w:name w:val="TAH Car"/>
    <w:link w:val="TAH"/>
    <w:qFormat/>
    <w:locked/>
    <w:rPr>
      <w:rFonts w:eastAsia="MS Mincho" w:cs="Arial"/>
      <w:b/>
      <w:bCs/>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06618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13F077-B2C0-4DBF-8A84-586D8E824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3</Pages>
  <Words>954</Words>
  <Characters>5438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10033860</dc:creator>
  <cp:lastModifiedBy>Z(R2#110)</cp:lastModifiedBy>
  <cp:revision>5</cp:revision>
  <cp:lastPrinted>2113-01-01T00:00:00Z</cp:lastPrinted>
  <dcterms:created xsi:type="dcterms:W3CDTF">2020-05-19T15:00:00Z</dcterms:created>
  <dcterms:modified xsi:type="dcterms:W3CDTF">2020-05-21T14:27:00Z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